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B91B8" w14:textId="293FDFC8" w:rsidR="00380C33" w:rsidRPr="00D8623E" w:rsidRDefault="00380C33" w:rsidP="000A4255">
      <w:pPr>
        <w:bidi/>
        <w:spacing w:before="100" w:beforeAutospacing="1" w:after="100" w:afterAutospacing="1" w:line="276" w:lineRule="auto"/>
        <w:jc w:val="center"/>
        <w:rPr>
          <w:rFonts w:ascii="Alef" w:hAnsi="Alef" w:cs="Alef"/>
          <w:b/>
          <w:bCs/>
          <w:sz w:val="28"/>
          <w:szCs w:val="28"/>
          <w:u w:val="single"/>
          <w:rtl/>
        </w:rPr>
      </w:pPr>
      <w:bookmarkStart w:id="0" w:name="_GoBack"/>
      <w:bookmarkEnd w:id="0"/>
      <w:r w:rsidRPr="00D8623E">
        <w:rPr>
          <w:rFonts w:ascii="Alef" w:hAnsi="Alef" w:cs="Alef"/>
          <w:b/>
          <w:bCs/>
          <w:sz w:val="28"/>
          <w:szCs w:val="28"/>
          <w:u w:val="single"/>
          <w:rtl/>
        </w:rPr>
        <w:t xml:space="preserve">החלטה לפי סעיף 14 לחוק התחרות הכלכלית, התשמ"ח-1988 בדבר אי מתן פטור מאישור הסדר כובל להסדרים בתחום חיפוש, הפקת ואספקת גז בשטחי רישיון 399/רועי, בין דלק קידוחים - שותפות מוגבלת ובין רציו חיפושי נפט (1992) שותפות מוגבלת; אדיסון אינטרנשיונאל אס.פי.איי; והזדמנות </w:t>
      </w:r>
      <w:r w:rsidR="000A4255" w:rsidRPr="00D8623E">
        <w:rPr>
          <w:rFonts w:ascii="Alef" w:hAnsi="Alef" w:cs="Alef" w:hint="cs"/>
          <w:b/>
          <w:bCs/>
          <w:sz w:val="28"/>
          <w:szCs w:val="28"/>
          <w:u w:val="single"/>
          <w:rtl/>
        </w:rPr>
        <w:t>י</w:t>
      </w:r>
      <w:r w:rsidRPr="00D8623E">
        <w:rPr>
          <w:rFonts w:ascii="Alef" w:hAnsi="Alef" w:cs="Alef"/>
          <w:b/>
          <w:bCs/>
          <w:sz w:val="28"/>
          <w:szCs w:val="28"/>
          <w:u w:val="single"/>
          <w:rtl/>
        </w:rPr>
        <w:t>שראלית –</w:t>
      </w:r>
      <w:r w:rsidR="003357F8" w:rsidRPr="00D8623E">
        <w:rPr>
          <w:rFonts w:ascii="Alef" w:hAnsi="Alef" w:cs="Alef"/>
          <w:b/>
          <w:bCs/>
          <w:sz w:val="28"/>
          <w:szCs w:val="28"/>
          <w:u w:val="single"/>
          <w:rtl/>
        </w:rPr>
        <w:t xml:space="preserve"> מקורות </w:t>
      </w:r>
      <w:r w:rsidR="000A4255" w:rsidRPr="00D8623E">
        <w:rPr>
          <w:rFonts w:ascii="Alef" w:hAnsi="Alef" w:cs="Alef" w:hint="cs"/>
          <w:b/>
          <w:bCs/>
          <w:sz w:val="28"/>
          <w:szCs w:val="28"/>
          <w:u w:val="single"/>
          <w:rtl/>
        </w:rPr>
        <w:t>א</w:t>
      </w:r>
      <w:r w:rsidR="003357F8" w:rsidRPr="00D8623E">
        <w:rPr>
          <w:rFonts w:ascii="Alef" w:hAnsi="Alef" w:cs="Alef"/>
          <w:b/>
          <w:bCs/>
          <w:sz w:val="28"/>
          <w:szCs w:val="28"/>
          <w:u w:val="single"/>
          <w:rtl/>
        </w:rPr>
        <w:t>נרגיה</w:t>
      </w:r>
    </w:p>
    <w:p w14:paraId="1EB20B86"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eastAsia="Times New Roman" w:hAnsi="Alef" w:cs="Alef"/>
          <w:b/>
          <w:bCs/>
          <w:kern w:val="36"/>
          <w:sz w:val="20"/>
          <w:szCs w:val="22"/>
        </w:rPr>
      </w:pPr>
      <w:r w:rsidRPr="000A4255">
        <w:rPr>
          <w:rFonts w:ascii="Alef" w:eastAsia="Times New Roman" w:hAnsi="Alef" w:cs="Alef"/>
          <w:b/>
          <w:bCs/>
          <w:kern w:val="36"/>
          <w:sz w:val="20"/>
          <w:szCs w:val="22"/>
          <w:rtl/>
        </w:rPr>
        <w:t>פתח דבר</w:t>
      </w:r>
    </w:p>
    <w:p w14:paraId="2F70D8B1" w14:textId="77777777"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0"/>
          <w:szCs w:val="22"/>
          <w:rtl/>
        </w:rPr>
        <w:t xml:space="preserve">לפני מונחת בקשה למתן פטור לפי סעיף 14 לחוק התחרות הכלכלית, תשמ"ח-1988 (להלן </w:t>
      </w:r>
      <w:r w:rsidRPr="000A4255">
        <w:rPr>
          <w:rFonts w:ascii="Alef" w:hAnsi="Alef" w:cs="Alef"/>
          <w:b/>
          <w:bCs/>
          <w:sz w:val="20"/>
          <w:szCs w:val="22"/>
          <w:rtl/>
        </w:rPr>
        <w:t>חוק התחרות</w:t>
      </w:r>
      <w:r w:rsidRPr="000A4255">
        <w:rPr>
          <w:rFonts w:ascii="Alef" w:hAnsi="Alef" w:cs="Alef"/>
          <w:b/>
          <w:bCs/>
          <w:sz w:val="20"/>
          <w:szCs w:val="22"/>
        </w:rPr>
        <w:t xml:space="preserve"> </w:t>
      </w:r>
      <w:r w:rsidRPr="000A4255">
        <w:rPr>
          <w:rFonts w:ascii="Alef" w:hAnsi="Alef" w:cs="Alef"/>
          <w:b/>
          <w:bCs/>
          <w:sz w:val="20"/>
          <w:szCs w:val="22"/>
          <w:rtl/>
        </w:rPr>
        <w:t>או החוק</w:t>
      </w:r>
      <w:r w:rsidRPr="000A4255">
        <w:rPr>
          <w:rFonts w:ascii="Alef" w:hAnsi="Alef" w:cs="Alef"/>
          <w:sz w:val="20"/>
          <w:szCs w:val="22"/>
          <w:rtl/>
        </w:rPr>
        <w:t xml:space="preserve">) מאישור הסדר כובל לשיתוף פעולה בין דלק קידוחים – שותפות מוגבלת (להלן </w:t>
      </w:r>
      <w:r w:rsidRPr="000A4255">
        <w:rPr>
          <w:rFonts w:ascii="Alef" w:hAnsi="Alef" w:cs="Alef"/>
          <w:b/>
          <w:bCs/>
          <w:sz w:val="20"/>
          <w:szCs w:val="22"/>
          <w:rtl/>
        </w:rPr>
        <w:t xml:space="preserve">דלק קידוחים) </w:t>
      </w:r>
      <w:r w:rsidRPr="000A4255">
        <w:rPr>
          <w:rFonts w:ascii="Alef" w:hAnsi="Alef" w:cs="Alef"/>
          <w:sz w:val="20"/>
          <w:szCs w:val="22"/>
          <w:rtl/>
        </w:rPr>
        <w:t xml:space="preserve">ובין רציו חיפושי נפט (1992) שותפות מוגבלת (להלן </w:t>
      </w:r>
      <w:r w:rsidRPr="000A4255">
        <w:rPr>
          <w:rFonts w:ascii="Alef" w:hAnsi="Alef" w:cs="Alef"/>
          <w:b/>
          <w:bCs/>
          <w:sz w:val="20"/>
          <w:szCs w:val="22"/>
          <w:rtl/>
        </w:rPr>
        <w:t>רציו</w:t>
      </w:r>
      <w:r w:rsidRPr="000A4255">
        <w:rPr>
          <w:rFonts w:ascii="Alef" w:hAnsi="Alef" w:cs="Alef"/>
          <w:sz w:val="20"/>
          <w:szCs w:val="22"/>
          <w:rtl/>
        </w:rPr>
        <w:t xml:space="preserve">), אדיסון אינטרנשיונאל אס.פי.איי (להלן </w:t>
      </w:r>
      <w:r w:rsidRPr="000A4255">
        <w:rPr>
          <w:rFonts w:ascii="Alef" w:hAnsi="Alef" w:cs="Alef"/>
          <w:b/>
          <w:bCs/>
          <w:sz w:val="20"/>
          <w:szCs w:val="22"/>
          <w:rtl/>
        </w:rPr>
        <w:t>אדיסון</w:t>
      </w:r>
      <w:r w:rsidRPr="000A4255">
        <w:rPr>
          <w:rFonts w:ascii="Alef" w:hAnsi="Alef" w:cs="Alef"/>
          <w:sz w:val="20"/>
          <w:szCs w:val="22"/>
          <w:rtl/>
        </w:rPr>
        <w:t xml:space="preserve">) והזדמנות ישראלית – מקורות אנרגיה (להלן </w:t>
      </w:r>
      <w:r w:rsidRPr="000A4255">
        <w:rPr>
          <w:rFonts w:ascii="Alef" w:hAnsi="Alef" w:cs="Alef"/>
          <w:b/>
          <w:bCs/>
          <w:sz w:val="20"/>
          <w:szCs w:val="22"/>
          <w:rtl/>
        </w:rPr>
        <w:t>הזדמנות ישראלית</w:t>
      </w:r>
      <w:r w:rsidRPr="000A4255">
        <w:rPr>
          <w:rFonts w:ascii="Alef" w:hAnsi="Alef" w:cs="Alef"/>
          <w:sz w:val="20"/>
          <w:szCs w:val="22"/>
          <w:rtl/>
        </w:rPr>
        <w:t xml:space="preserve">), בתחום חיפוש גז טבעי ונפט בשטחי רישיון 399/רועי (להלן </w:t>
      </w:r>
      <w:r w:rsidRPr="000A4255">
        <w:rPr>
          <w:rFonts w:ascii="Alef" w:hAnsi="Alef" w:cs="Alef"/>
          <w:b/>
          <w:bCs/>
          <w:sz w:val="20"/>
          <w:szCs w:val="22"/>
          <w:rtl/>
        </w:rPr>
        <w:t>רישיון רועי</w:t>
      </w:r>
      <w:r w:rsidRPr="000A4255">
        <w:rPr>
          <w:rFonts w:ascii="Alef" w:hAnsi="Alef" w:cs="Alef"/>
          <w:sz w:val="20"/>
          <w:szCs w:val="22"/>
          <w:rtl/>
        </w:rPr>
        <w:t xml:space="preserve">), וכן בהפקתו ובאספקה במידה שיימצא (להלן </w:t>
      </w:r>
      <w:r w:rsidRPr="000A4255">
        <w:rPr>
          <w:rFonts w:ascii="Alef" w:hAnsi="Alef" w:cs="Alef"/>
          <w:b/>
          <w:bCs/>
          <w:sz w:val="20"/>
          <w:szCs w:val="22"/>
          <w:rtl/>
        </w:rPr>
        <w:t>ההסדר</w:t>
      </w:r>
      <w:r w:rsidRPr="000A4255">
        <w:rPr>
          <w:rFonts w:ascii="Alef" w:hAnsi="Alef" w:cs="Alef"/>
          <w:sz w:val="20"/>
          <w:szCs w:val="22"/>
          <w:rtl/>
        </w:rPr>
        <w:t>).</w:t>
      </w:r>
      <w:r w:rsidRPr="000A4255">
        <w:rPr>
          <w:rFonts w:ascii="Alef" w:hAnsi="Alef" w:cs="Alef"/>
          <w:sz w:val="22"/>
          <w:szCs w:val="22"/>
          <w:rtl/>
        </w:rPr>
        <w:t xml:space="preserve"> </w:t>
      </w:r>
    </w:p>
    <w:p w14:paraId="1735BCF2" w14:textId="681FA285" w:rsidR="00380C33" w:rsidRPr="000A4255" w:rsidRDefault="00380C33" w:rsidP="000A4255">
      <w:pPr>
        <w:bidi/>
        <w:spacing w:before="100" w:beforeAutospacing="1" w:after="100" w:afterAutospacing="1" w:line="276" w:lineRule="auto"/>
        <w:jc w:val="both"/>
        <w:rPr>
          <w:rFonts w:ascii="Alef" w:hAnsi="Alef" w:cs="Alef"/>
          <w:sz w:val="20"/>
          <w:szCs w:val="22"/>
          <w:rtl/>
        </w:rPr>
      </w:pPr>
      <w:r w:rsidRPr="000A4255">
        <w:rPr>
          <w:rFonts w:ascii="Alef" w:hAnsi="Alef" w:cs="Alef"/>
          <w:sz w:val="20"/>
          <w:szCs w:val="22"/>
          <w:rtl/>
        </w:rPr>
        <w:t>לאחר שבחנתי את ההסדר, ולאחר שנועצתי בוועדה לפטורים ומיזוגים, לא שוכנעתי כי ההסדר עומד בהוראת סעיף 14(א)</w:t>
      </w:r>
      <w:r w:rsidR="00FE39C1" w:rsidRPr="000A4255">
        <w:rPr>
          <w:rFonts w:ascii="Alef" w:hAnsi="Alef" w:cs="Alef"/>
          <w:sz w:val="20"/>
          <w:szCs w:val="22"/>
          <w:rtl/>
        </w:rPr>
        <w:t>(1)</w:t>
      </w:r>
      <w:r w:rsidRPr="000A4255">
        <w:rPr>
          <w:rFonts w:ascii="Alef" w:hAnsi="Alef" w:cs="Alef"/>
          <w:sz w:val="20"/>
          <w:szCs w:val="22"/>
          <w:rtl/>
        </w:rPr>
        <w:t xml:space="preserve"> לחוק. מטעם זה לא מצאתי לנכון להעניק להסדר פטור מאישור הסדר כובל על ידי בית הדין לתחרות לפי סעיף 14 לחוק. נימוקי החלטתי יפורטו להלן.</w:t>
      </w:r>
    </w:p>
    <w:p w14:paraId="039E3DB3"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eastAsia="Times New Roman" w:hAnsi="Alef" w:cs="Alef"/>
          <w:b/>
          <w:bCs/>
          <w:kern w:val="36"/>
          <w:sz w:val="20"/>
          <w:szCs w:val="22"/>
        </w:rPr>
      </w:pPr>
      <w:r w:rsidRPr="000A4255">
        <w:rPr>
          <w:rFonts w:ascii="Alef" w:eastAsia="Times New Roman" w:hAnsi="Alef" w:cs="Alef"/>
          <w:b/>
          <w:bCs/>
          <w:kern w:val="36"/>
          <w:sz w:val="20"/>
          <w:szCs w:val="22"/>
          <w:rtl/>
        </w:rPr>
        <w:t>ההסדר והצדדים לו</w:t>
      </w:r>
    </w:p>
    <w:p w14:paraId="68B1AED4" w14:textId="77777777" w:rsidR="00380C33" w:rsidRPr="000A4255" w:rsidRDefault="00380C33" w:rsidP="000A4255">
      <w:pPr>
        <w:pStyle w:val="Heading1"/>
        <w:numPr>
          <w:ilvl w:val="1"/>
          <w:numId w:val="1"/>
        </w:numPr>
        <w:bidi/>
        <w:spacing w:before="100" w:beforeAutospacing="1" w:after="100" w:afterAutospacing="1" w:line="276" w:lineRule="auto"/>
        <w:ind w:left="368" w:right="720"/>
        <w:jc w:val="both"/>
        <w:rPr>
          <w:rFonts w:ascii="Alef" w:eastAsia="Times New Roman" w:hAnsi="Alef" w:cs="Alef"/>
          <w:kern w:val="36"/>
          <w:sz w:val="20"/>
          <w:szCs w:val="22"/>
          <w:u w:val="single"/>
        </w:rPr>
      </w:pPr>
      <w:r w:rsidRPr="000A4255">
        <w:rPr>
          <w:rFonts w:ascii="Alef" w:eastAsia="Times New Roman" w:hAnsi="Alef" w:cs="Alef"/>
          <w:kern w:val="36"/>
          <w:sz w:val="20"/>
          <w:szCs w:val="22"/>
          <w:u w:val="single"/>
          <w:rtl/>
        </w:rPr>
        <w:t>הצדדים להסדר</w:t>
      </w:r>
    </w:p>
    <w:p w14:paraId="038CDAB4" w14:textId="492FE865"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b/>
          <w:bCs/>
          <w:sz w:val="22"/>
          <w:szCs w:val="22"/>
          <w:rtl/>
        </w:rPr>
        <w:t xml:space="preserve">דלק קידוחים </w:t>
      </w:r>
      <w:r w:rsidRPr="000A4255">
        <w:rPr>
          <w:rFonts w:ascii="Alef" w:hAnsi="Alef" w:cs="Alef"/>
          <w:sz w:val="22"/>
          <w:szCs w:val="22"/>
          <w:rtl/>
        </w:rPr>
        <w:t>היא חברה ציבורית העוסקת בחיפושים, פיתוח והפקה של גז טבעי, קונדנסט ונפט, והיא מחזיקה ב</w:t>
      </w:r>
      <w:r w:rsidR="006F248E" w:rsidRPr="000A4255">
        <w:rPr>
          <w:rFonts w:ascii="Alef" w:hAnsi="Alef" w:cs="Alef"/>
          <w:sz w:val="22"/>
          <w:szCs w:val="22"/>
          <w:rtl/>
        </w:rPr>
        <w:t>כ</w:t>
      </w:r>
      <w:r w:rsidRPr="000A4255">
        <w:rPr>
          <w:rFonts w:ascii="Alef" w:hAnsi="Alef" w:cs="Alef"/>
          <w:sz w:val="22"/>
          <w:szCs w:val="22"/>
          <w:rtl/>
        </w:rPr>
        <w:t>-45% מהזכויות במאגר לווייתן, כמו גם בעוד זכויות במאגרי גז משמעותיים בישראל</w:t>
      </w:r>
      <w:r w:rsidR="00A01A69" w:rsidRPr="000A4255">
        <w:rPr>
          <w:rFonts w:ascii="Alef" w:hAnsi="Alef" w:cs="Alef"/>
          <w:sz w:val="22"/>
          <w:szCs w:val="22"/>
          <w:rtl/>
        </w:rPr>
        <w:t>.</w:t>
      </w:r>
      <w:r w:rsidRPr="000A4255">
        <w:rPr>
          <w:rStyle w:val="FootnoteReference"/>
          <w:rFonts w:ascii="Alef" w:hAnsi="Alef" w:cs="Alef"/>
          <w:sz w:val="22"/>
          <w:szCs w:val="22"/>
          <w:rtl/>
        </w:rPr>
        <w:footnoteReference w:id="1"/>
      </w:r>
      <w:r w:rsidRPr="000A4255">
        <w:rPr>
          <w:rFonts w:ascii="Alef" w:hAnsi="Alef" w:cs="Alef"/>
          <w:sz w:val="22"/>
          <w:szCs w:val="22"/>
          <w:rtl/>
        </w:rPr>
        <w:t xml:space="preserve"> </w:t>
      </w:r>
      <w:r w:rsidR="00361C22" w:rsidRPr="000A4255">
        <w:rPr>
          <w:rFonts w:ascii="Alef" w:hAnsi="Alef" w:cs="Alef"/>
          <w:sz w:val="22"/>
          <w:szCs w:val="22"/>
          <w:rtl/>
        </w:rPr>
        <w:t>דלק קידוחים מחזיקה ב</w:t>
      </w:r>
      <w:r w:rsidR="006F248E" w:rsidRPr="000A4255">
        <w:rPr>
          <w:rFonts w:ascii="Alef" w:hAnsi="Alef" w:cs="Alef"/>
          <w:sz w:val="22"/>
          <w:szCs w:val="22"/>
          <w:rtl/>
        </w:rPr>
        <w:t>כ</w:t>
      </w:r>
      <w:r w:rsidR="00361C22" w:rsidRPr="000A4255">
        <w:rPr>
          <w:rFonts w:ascii="Alef" w:hAnsi="Alef" w:cs="Alef"/>
          <w:sz w:val="22"/>
          <w:szCs w:val="22"/>
          <w:rtl/>
        </w:rPr>
        <w:t xml:space="preserve">-22% מהזכויות במאגר תמר באופן ישיר, ובאופן עקיף בכ-3% </w:t>
      </w:r>
      <w:r w:rsidR="00361C22" w:rsidRPr="000A4255">
        <w:rPr>
          <w:rFonts w:ascii="Alef" w:hAnsi="Alef" w:cs="Alef"/>
          <w:sz w:val="22"/>
          <w:szCs w:val="22"/>
          <w:rtl/>
        </w:rPr>
        <w:lastRenderedPageBreak/>
        <w:t xml:space="preserve">נוספים באמצעות תמר פטרוליום. על פי החלטת ממשלה 476 מיום 16.8.2015 (להלן </w:t>
      </w:r>
      <w:r w:rsidR="00361C22" w:rsidRPr="000A4255">
        <w:rPr>
          <w:rFonts w:ascii="Alef" w:hAnsi="Alef" w:cs="Alef"/>
          <w:b/>
          <w:bCs/>
          <w:sz w:val="22"/>
          <w:szCs w:val="22"/>
          <w:rtl/>
        </w:rPr>
        <w:t>מתווה הגז</w:t>
      </w:r>
      <w:r w:rsidR="00361C22" w:rsidRPr="000A4255">
        <w:rPr>
          <w:rFonts w:ascii="Alef" w:hAnsi="Alef" w:cs="Alef"/>
          <w:sz w:val="22"/>
          <w:szCs w:val="22"/>
          <w:rtl/>
        </w:rPr>
        <w:t xml:space="preserve">), עתידה דלק קידוחים להיפרד מכל אחזקותיה בתמר עד ליום 17.12.2021. </w:t>
      </w:r>
      <w:r w:rsidR="002357D0" w:rsidRPr="000A4255">
        <w:rPr>
          <w:rFonts w:ascii="Alef" w:hAnsi="Alef" w:cs="Alef"/>
          <w:sz w:val="22"/>
          <w:szCs w:val="22"/>
          <w:rtl/>
        </w:rPr>
        <w:t xml:space="preserve">נוסף על נכסים אלו, </w:t>
      </w:r>
      <w:r w:rsidR="00A01A69" w:rsidRPr="000A4255">
        <w:rPr>
          <w:rFonts w:ascii="Alef" w:hAnsi="Alef" w:cs="Alef"/>
          <w:sz w:val="22"/>
          <w:szCs w:val="22"/>
          <w:rtl/>
        </w:rPr>
        <w:t xml:space="preserve">דלק </w:t>
      </w:r>
      <w:r w:rsidR="003357F8" w:rsidRPr="000A4255">
        <w:rPr>
          <w:rFonts w:ascii="Alef" w:hAnsi="Alef" w:cs="Alef"/>
          <w:sz w:val="22"/>
          <w:szCs w:val="22"/>
          <w:rtl/>
        </w:rPr>
        <w:t xml:space="preserve">קידוחים </w:t>
      </w:r>
      <w:r w:rsidR="00A01A69" w:rsidRPr="000A4255">
        <w:rPr>
          <w:rFonts w:ascii="Alef" w:hAnsi="Alef" w:cs="Alef"/>
          <w:sz w:val="22"/>
          <w:szCs w:val="22"/>
          <w:rtl/>
        </w:rPr>
        <w:t xml:space="preserve">מחזיקה גם </w:t>
      </w:r>
      <w:r w:rsidRPr="000A4255">
        <w:rPr>
          <w:rFonts w:ascii="Alef" w:hAnsi="Alef" w:cs="Alef"/>
          <w:sz w:val="22"/>
          <w:szCs w:val="22"/>
          <w:rtl/>
        </w:rPr>
        <w:t>בחלק ממאגר הגז הקפריסאי "אפרודיטה". כמו כן, דלק</w:t>
      </w:r>
      <w:r w:rsidR="003357F8" w:rsidRPr="000A4255">
        <w:rPr>
          <w:rFonts w:ascii="Alef" w:hAnsi="Alef" w:cs="Alef"/>
          <w:sz w:val="22"/>
          <w:szCs w:val="22"/>
          <w:rtl/>
        </w:rPr>
        <w:t xml:space="preserve"> קידוחים</w:t>
      </w:r>
      <w:r w:rsidRPr="000A4255">
        <w:rPr>
          <w:rFonts w:ascii="Alef" w:hAnsi="Alef" w:cs="Alef"/>
          <w:sz w:val="22"/>
          <w:szCs w:val="22"/>
          <w:rtl/>
        </w:rPr>
        <w:t xml:space="preserve"> </w:t>
      </w:r>
      <w:r w:rsidR="002357D0" w:rsidRPr="000A4255">
        <w:rPr>
          <w:rFonts w:ascii="Alef" w:hAnsi="Alef" w:cs="Alef"/>
          <w:sz w:val="22"/>
          <w:szCs w:val="22"/>
          <w:rtl/>
        </w:rPr>
        <w:t>היא בעלת זכויות</w:t>
      </w:r>
      <w:r w:rsidRPr="000A4255">
        <w:rPr>
          <w:rFonts w:ascii="Alef" w:hAnsi="Alef" w:cs="Alef"/>
          <w:sz w:val="22"/>
          <w:szCs w:val="22"/>
          <w:rtl/>
        </w:rPr>
        <w:t xml:space="preserve"> ברישיון 367/אלון</w:t>
      </w:r>
      <w:r w:rsidR="002357D0" w:rsidRPr="000A4255">
        <w:rPr>
          <w:rFonts w:ascii="Alef" w:hAnsi="Alef" w:cs="Alef"/>
          <w:sz w:val="22"/>
          <w:szCs w:val="22"/>
          <w:rtl/>
        </w:rPr>
        <w:t>.</w:t>
      </w:r>
      <w:r w:rsidRPr="000A4255">
        <w:rPr>
          <w:rFonts w:ascii="Alef" w:hAnsi="Alef" w:cs="Alef"/>
          <w:sz w:val="22"/>
          <w:szCs w:val="22"/>
          <w:rtl/>
        </w:rPr>
        <w:t xml:space="preserve"> דלק </w:t>
      </w:r>
      <w:r w:rsidR="003357F8" w:rsidRPr="000A4255">
        <w:rPr>
          <w:rFonts w:ascii="Alef" w:hAnsi="Alef" w:cs="Alef"/>
          <w:sz w:val="22"/>
          <w:szCs w:val="22"/>
          <w:rtl/>
        </w:rPr>
        <w:t xml:space="preserve">קידוחים </w:t>
      </w:r>
      <w:r w:rsidRPr="000A4255">
        <w:rPr>
          <w:rFonts w:ascii="Alef" w:hAnsi="Alef" w:cs="Alef"/>
          <w:sz w:val="22"/>
          <w:szCs w:val="22"/>
          <w:rtl/>
        </w:rPr>
        <w:t>מוכרזת כבעלת מונופולין באספקת גז טבעי שלא עבר תהליך הנזלה בישראל.</w:t>
      </w:r>
      <w:r w:rsidRPr="000A4255">
        <w:rPr>
          <w:rStyle w:val="FootnoteReference"/>
          <w:rFonts w:ascii="Alef" w:hAnsi="Alef" w:cs="Alef"/>
          <w:sz w:val="22"/>
          <w:szCs w:val="22"/>
          <w:rtl/>
        </w:rPr>
        <w:footnoteReference w:id="2"/>
      </w:r>
      <w:r w:rsidRPr="000A4255">
        <w:rPr>
          <w:rFonts w:ascii="Alef" w:hAnsi="Alef" w:cs="Alef"/>
          <w:sz w:val="22"/>
          <w:szCs w:val="22"/>
          <w:rtl/>
        </w:rPr>
        <w:t xml:space="preserve"> </w:t>
      </w:r>
    </w:p>
    <w:p w14:paraId="4DAEDD24" w14:textId="2A01BC5C"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b/>
          <w:bCs/>
          <w:sz w:val="22"/>
          <w:szCs w:val="22"/>
          <w:rtl/>
        </w:rPr>
        <w:t>רציו</w:t>
      </w:r>
      <w:r w:rsidRPr="000A4255">
        <w:rPr>
          <w:rFonts w:ascii="Alef" w:hAnsi="Alef" w:cs="Alef"/>
          <w:sz w:val="22"/>
          <w:szCs w:val="22"/>
          <w:rtl/>
        </w:rPr>
        <w:t xml:space="preserve"> היא חברה ציבורית העוסקת בחיפוש, פיתוח והפקה של נכסי גז ונפט. רציו בעלת 15% מהזכויות במאגר לווייתן, ומחזיקה ברישיונות אקספלורציה בישראל. </w:t>
      </w:r>
      <w:r w:rsidR="00D806CE" w:rsidRPr="000A4255">
        <w:rPr>
          <w:rFonts w:ascii="Alef" w:hAnsi="Alef" w:cs="Alef"/>
          <w:sz w:val="22"/>
          <w:szCs w:val="22"/>
          <w:rtl/>
        </w:rPr>
        <w:t>בין היתר</w:t>
      </w:r>
      <w:r w:rsidRPr="000A4255">
        <w:rPr>
          <w:rFonts w:ascii="Alef" w:hAnsi="Alef" w:cs="Alef"/>
          <w:sz w:val="22"/>
          <w:szCs w:val="22"/>
          <w:rtl/>
        </w:rPr>
        <w:t xml:space="preserve">, היא מחזיקה </w:t>
      </w:r>
      <w:r w:rsidR="00D806CE" w:rsidRPr="000A4255">
        <w:rPr>
          <w:rFonts w:ascii="Alef" w:hAnsi="Alef" w:cs="Alef"/>
          <w:sz w:val="22"/>
          <w:szCs w:val="22"/>
          <w:rtl/>
        </w:rPr>
        <w:t>ב-70% מהזכויות ברישיון רועי</w:t>
      </w:r>
      <w:r w:rsidRPr="000A4255">
        <w:rPr>
          <w:rFonts w:ascii="Alef" w:hAnsi="Alef" w:cs="Alef"/>
          <w:sz w:val="22"/>
          <w:szCs w:val="22"/>
          <w:rtl/>
        </w:rPr>
        <w:t>. רציו מחזיקה גם ב-20% מרציו פטרוליום – שותפות מוגבלת, שהוקמה לצורך חיפושי נפט ברחבי העולם.</w:t>
      </w:r>
      <w:r w:rsidRPr="000A4255">
        <w:rPr>
          <w:rStyle w:val="FootnoteReference"/>
          <w:rFonts w:ascii="Alef" w:hAnsi="Alef" w:cs="Alef"/>
          <w:sz w:val="22"/>
          <w:szCs w:val="22"/>
          <w:rtl/>
        </w:rPr>
        <w:footnoteReference w:id="3"/>
      </w:r>
      <w:r w:rsidRPr="000A4255">
        <w:rPr>
          <w:rFonts w:ascii="Alef" w:hAnsi="Alef" w:cs="Alef"/>
          <w:sz w:val="22"/>
          <w:szCs w:val="22"/>
          <w:rtl/>
        </w:rPr>
        <w:t xml:space="preserve">   </w:t>
      </w:r>
    </w:p>
    <w:p w14:paraId="48669F4B" w14:textId="456FC68B"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b/>
          <w:bCs/>
          <w:sz w:val="22"/>
          <w:szCs w:val="22"/>
          <w:rtl/>
        </w:rPr>
        <w:t>אדיסון</w:t>
      </w:r>
      <w:r w:rsidRPr="000A4255">
        <w:rPr>
          <w:rFonts w:ascii="Alef" w:hAnsi="Alef" w:cs="Alef"/>
          <w:sz w:val="22"/>
          <w:szCs w:val="22"/>
          <w:rtl/>
        </w:rPr>
        <w:t xml:space="preserve"> היא חברה איטלקית בבעלות מלאה של חברת החשמל הצרפתית (</w:t>
      </w:r>
      <w:r w:rsidRPr="000A4255">
        <w:rPr>
          <w:rFonts w:ascii="Alef" w:hAnsi="Alef" w:cs="Alef"/>
          <w:sz w:val="22"/>
          <w:szCs w:val="22"/>
        </w:rPr>
        <w:t>EDF</w:t>
      </w:r>
      <w:r w:rsidRPr="000A4255">
        <w:rPr>
          <w:rFonts w:ascii="Alef" w:hAnsi="Alef" w:cs="Alef"/>
          <w:sz w:val="22"/>
          <w:szCs w:val="22"/>
          <w:rtl/>
        </w:rPr>
        <w:t>)</w:t>
      </w:r>
      <w:r w:rsidR="002357D0" w:rsidRPr="000A4255">
        <w:rPr>
          <w:rFonts w:ascii="Alef" w:hAnsi="Alef" w:cs="Alef"/>
          <w:sz w:val="22"/>
          <w:szCs w:val="22"/>
          <w:rtl/>
        </w:rPr>
        <w:t xml:space="preserve">. בתאריך 4.7.2019 דיווחה </w:t>
      </w:r>
      <w:r w:rsidR="00FF11D6" w:rsidRPr="000A4255">
        <w:rPr>
          <w:rFonts w:ascii="Alef" w:hAnsi="Alef" w:cs="Alef"/>
          <w:sz w:val="22"/>
          <w:szCs w:val="22"/>
        </w:rPr>
        <w:t>Energean Oil &amp; Gas PLC</w:t>
      </w:r>
      <w:r w:rsidR="002357D0" w:rsidRPr="000A4255">
        <w:rPr>
          <w:rFonts w:ascii="Alef" w:hAnsi="Alef" w:cs="Alef"/>
          <w:sz w:val="22"/>
          <w:szCs w:val="22"/>
          <w:rtl/>
        </w:rPr>
        <w:t xml:space="preserve"> </w:t>
      </w:r>
      <w:r w:rsidR="00FF11D6" w:rsidRPr="000A4255">
        <w:rPr>
          <w:rFonts w:ascii="Alef" w:hAnsi="Alef" w:cs="Alef"/>
          <w:sz w:val="22"/>
          <w:szCs w:val="22"/>
          <w:rtl/>
        </w:rPr>
        <w:t xml:space="preserve">(להלן </w:t>
      </w:r>
      <w:r w:rsidR="00FF11D6" w:rsidRPr="000A4255">
        <w:rPr>
          <w:rFonts w:ascii="Alef" w:hAnsi="Alef" w:cs="Alef"/>
          <w:b/>
          <w:bCs/>
          <w:sz w:val="22"/>
          <w:szCs w:val="22"/>
          <w:rtl/>
        </w:rPr>
        <w:t>אנרג'יאן</w:t>
      </w:r>
      <w:r w:rsidR="00FF11D6" w:rsidRPr="000A4255">
        <w:rPr>
          <w:rFonts w:ascii="Alef" w:hAnsi="Alef" w:cs="Alef"/>
          <w:sz w:val="22"/>
          <w:szCs w:val="22"/>
          <w:rtl/>
        </w:rPr>
        <w:t xml:space="preserve">) </w:t>
      </w:r>
      <w:r w:rsidR="002357D0" w:rsidRPr="000A4255">
        <w:rPr>
          <w:rFonts w:ascii="Alef" w:hAnsi="Alef" w:cs="Alef"/>
          <w:sz w:val="22"/>
          <w:szCs w:val="22"/>
          <w:rtl/>
        </w:rPr>
        <w:t xml:space="preserve">לבורסה כי היא עתידה לרכוש את חברת </w:t>
      </w:r>
      <w:r w:rsidR="002357D0" w:rsidRPr="000A4255">
        <w:rPr>
          <w:rFonts w:ascii="Alef" w:hAnsi="Alef" w:cs="Alef"/>
          <w:sz w:val="22"/>
          <w:szCs w:val="22"/>
        </w:rPr>
        <w:t>Edison E&amp;P</w:t>
      </w:r>
      <w:r w:rsidR="00946A18" w:rsidRPr="000A4255">
        <w:rPr>
          <w:rFonts w:ascii="Alef" w:hAnsi="Alef" w:cs="Alef"/>
          <w:sz w:val="22"/>
          <w:szCs w:val="22"/>
          <w:rtl/>
        </w:rPr>
        <w:t xml:space="preserve"> -</w:t>
      </w:r>
      <w:r w:rsidR="002357D0" w:rsidRPr="000A4255">
        <w:rPr>
          <w:rFonts w:ascii="Alef" w:hAnsi="Alef" w:cs="Alef"/>
          <w:sz w:val="22"/>
          <w:szCs w:val="22"/>
          <w:rtl/>
        </w:rPr>
        <w:t xml:space="preserve"> </w:t>
      </w:r>
      <w:r w:rsidR="00FF11D6" w:rsidRPr="000A4255">
        <w:rPr>
          <w:rFonts w:ascii="Alef" w:hAnsi="Alef" w:cs="Alef"/>
          <w:sz w:val="22"/>
          <w:szCs w:val="22"/>
          <w:rtl/>
        </w:rPr>
        <w:t>חברת הבת של אדיסון</w:t>
      </w:r>
      <w:r w:rsidR="00946A18" w:rsidRPr="000A4255">
        <w:rPr>
          <w:rFonts w:ascii="Alef" w:hAnsi="Alef" w:cs="Alef"/>
          <w:sz w:val="22"/>
          <w:szCs w:val="22"/>
          <w:rtl/>
        </w:rPr>
        <w:t xml:space="preserve"> -</w:t>
      </w:r>
      <w:r w:rsidR="00FF11D6" w:rsidRPr="000A4255">
        <w:rPr>
          <w:rFonts w:ascii="Alef" w:hAnsi="Alef" w:cs="Alef"/>
          <w:sz w:val="22"/>
          <w:szCs w:val="22"/>
          <w:rtl/>
        </w:rPr>
        <w:t xml:space="preserve"> השותפה</w:t>
      </w:r>
      <w:r w:rsidR="00176750" w:rsidRPr="000A4255">
        <w:rPr>
          <w:rFonts w:ascii="Alef" w:hAnsi="Alef" w:cs="Alef"/>
          <w:sz w:val="22"/>
          <w:szCs w:val="22"/>
          <w:rtl/>
        </w:rPr>
        <w:t xml:space="preserve"> ברישיון רועי</w:t>
      </w:r>
      <w:r w:rsidRPr="000A4255">
        <w:rPr>
          <w:rStyle w:val="FootnoteReference"/>
          <w:rFonts w:ascii="Alef" w:hAnsi="Alef" w:cs="Alef"/>
          <w:sz w:val="22"/>
          <w:szCs w:val="22"/>
          <w:rtl/>
        </w:rPr>
        <w:footnoteReference w:id="4"/>
      </w:r>
      <w:r w:rsidR="00176750" w:rsidRPr="000A4255">
        <w:rPr>
          <w:rFonts w:ascii="Alef" w:hAnsi="Alef" w:cs="Alef"/>
          <w:sz w:val="22"/>
          <w:szCs w:val="22"/>
          <w:rtl/>
        </w:rPr>
        <w:t xml:space="preserve"> -</w:t>
      </w:r>
      <w:r w:rsidRPr="000A4255">
        <w:rPr>
          <w:rFonts w:ascii="Alef" w:hAnsi="Alef" w:cs="Alef"/>
          <w:sz w:val="22"/>
          <w:szCs w:val="22"/>
          <w:rtl/>
        </w:rPr>
        <w:t xml:space="preserve"> העוסקת בחיפוש ובהפקת נפט וגז טבעי. אדיסון מחזיקה ב-20% מהזכויות ברישיון רועי ומוגדרת בו כמפעיל,</w:t>
      </w:r>
      <w:r w:rsidRPr="000A4255">
        <w:rPr>
          <w:rStyle w:val="FootnoteReference"/>
          <w:rFonts w:ascii="Alef" w:hAnsi="Alef" w:cs="Alef"/>
          <w:sz w:val="22"/>
          <w:szCs w:val="22"/>
          <w:rtl/>
        </w:rPr>
        <w:footnoteReference w:id="5"/>
      </w:r>
      <w:r w:rsidRPr="000A4255">
        <w:rPr>
          <w:rFonts w:ascii="Alef" w:hAnsi="Alef" w:cs="Alef"/>
          <w:sz w:val="22"/>
          <w:szCs w:val="22"/>
          <w:rtl/>
        </w:rPr>
        <w:t xml:space="preserve"> והיא בעלת אחזקות במאגרי גז ברחבי העולם. </w:t>
      </w:r>
    </w:p>
    <w:p w14:paraId="23F9EBB2" w14:textId="41B4DEF2" w:rsidR="00380C33" w:rsidRPr="000A4255" w:rsidRDefault="00380C33" w:rsidP="000A4255">
      <w:pPr>
        <w:bidi/>
        <w:spacing w:after="240" w:line="276" w:lineRule="auto"/>
        <w:jc w:val="both"/>
        <w:rPr>
          <w:rFonts w:ascii="Alef" w:eastAsia="Times New Roman" w:hAnsi="Alef" w:cs="Alef"/>
          <w:kern w:val="36"/>
          <w:sz w:val="20"/>
          <w:szCs w:val="22"/>
          <w:rtl/>
        </w:rPr>
      </w:pPr>
      <w:r w:rsidRPr="000A4255">
        <w:rPr>
          <w:rFonts w:ascii="Alef" w:hAnsi="Alef" w:cs="Alef"/>
          <w:b/>
          <w:bCs/>
          <w:sz w:val="22"/>
          <w:szCs w:val="22"/>
          <w:rtl/>
        </w:rPr>
        <w:t xml:space="preserve">הזדמנות ישראלית </w:t>
      </w:r>
      <w:r w:rsidRPr="000A4255">
        <w:rPr>
          <w:rFonts w:ascii="Alef" w:hAnsi="Alef" w:cs="Alef"/>
          <w:sz w:val="22"/>
          <w:szCs w:val="22"/>
          <w:rtl/>
        </w:rPr>
        <w:t xml:space="preserve">היא חברה ציבורית העוסקת בחיפוש, פיתוח והפקה של נפט וגז טבעי באזורים מוגדרים, והיא בעלת אחזקות במספר רישיונות חיפוש בישראל ובעולם, ובמספר מאגרי גז ברחבי העולם. </w:t>
      </w:r>
      <w:r w:rsidR="00176750" w:rsidRPr="000A4255">
        <w:rPr>
          <w:rFonts w:ascii="Alef" w:eastAsia="Times New Roman" w:hAnsi="Alef" w:cs="Alef"/>
          <w:kern w:val="36"/>
          <w:sz w:val="20"/>
          <w:szCs w:val="22"/>
          <w:rtl/>
        </w:rPr>
        <w:t>במסגרת זו היא</w:t>
      </w:r>
      <w:r w:rsidRPr="000A4255">
        <w:rPr>
          <w:rFonts w:ascii="Alef" w:eastAsia="Times New Roman" w:hAnsi="Alef" w:cs="Alef"/>
          <w:kern w:val="36"/>
          <w:sz w:val="20"/>
          <w:szCs w:val="22"/>
          <w:rtl/>
        </w:rPr>
        <w:t xml:space="preserve"> מחזיקה ב-10% מהזכויות ברישיון רועי</w:t>
      </w:r>
      <w:r w:rsidR="00EB7DAE" w:rsidRPr="000A4255">
        <w:rPr>
          <w:rFonts w:ascii="Alef" w:eastAsia="Times New Roman" w:hAnsi="Alef" w:cs="Alef"/>
          <w:kern w:val="36"/>
          <w:sz w:val="20"/>
          <w:szCs w:val="22"/>
          <w:rtl/>
        </w:rPr>
        <w:t>.</w:t>
      </w:r>
    </w:p>
    <w:p w14:paraId="45D3D146" w14:textId="77777777" w:rsidR="00380C33" w:rsidRPr="000A4255" w:rsidRDefault="00380C33" w:rsidP="000A4255">
      <w:pPr>
        <w:pStyle w:val="Heading1"/>
        <w:numPr>
          <w:ilvl w:val="1"/>
          <w:numId w:val="1"/>
        </w:numPr>
        <w:bidi/>
        <w:spacing w:before="100" w:beforeAutospacing="1" w:after="100" w:afterAutospacing="1" w:line="276" w:lineRule="auto"/>
        <w:ind w:left="368" w:right="720"/>
        <w:jc w:val="both"/>
        <w:rPr>
          <w:rFonts w:ascii="Alef" w:eastAsia="Times New Roman" w:hAnsi="Alef" w:cs="Alef"/>
          <w:kern w:val="36"/>
          <w:sz w:val="20"/>
          <w:szCs w:val="22"/>
          <w:u w:val="single"/>
          <w:rtl/>
        </w:rPr>
      </w:pPr>
      <w:r w:rsidRPr="000A4255">
        <w:rPr>
          <w:rFonts w:ascii="Alef" w:eastAsia="Times New Roman" w:hAnsi="Alef" w:cs="Alef"/>
          <w:kern w:val="36"/>
          <w:sz w:val="20"/>
          <w:szCs w:val="22"/>
          <w:u w:val="single"/>
          <w:rtl/>
        </w:rPr>
        <w:t>ההסדר</w:t>
      </w:r>
    </w:p>
    <w:p w14:paraId="6A103A73" w14:textId="4D9B1920"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lastRenderedPageBreak/>
        <w:t>רישיון רועי הוא רישיון חיפוש שהוענק לרציו בשנת 2013, והוא כולל שטח של 400 אלף דונם במימי הים התיכון</w:t>
      </w:r>
      <w:r w:rsidR="007B690C" w:rsidRPr="000A4255">
        <w:rPr>
          <w:rFonts w:ascii="Alef" w:hAnsi="Alef" w:cs="Alef"/>
          <w:sz w:val="22"/>
          <w:szCs w:val="22"/>
          <w:rtl/>
        </w:rPr>
        <w:t>.</w:t>
      </w:r>
      <w:r w:rsidRPr="000A4255">
        <w:rPr>
          <w:rFonts w:ascii="Alef" w:hAnsi="Alef" w:cs="Alef"/>
          <w:sz w:val="22"/>
          <w:szCs w:val="22"/>
          <w:rtl/>
        </w:rPr>
        <w:t xml:space="preserve"> בין השנים 2009-2013 החזיקה רציו בהיתר מוקדם על אותו האזור – היתר מוקדם "גל". עד היום טרם נערך קידוח ניסיון בשטח הרישיון, ואם לא יבוצע עד אפריל 2020, יוחזר הרישיון לידי המדינה.</w:t>
      </w:r>
      <w:r w:rsidRPr="000A4255">
        <w:rPr>
          <w:rStyle w:val="FootnoteReference"/>
          <w:rFonts w:ascii="Alef" w:hAnsi="Alef" w:cs="Alef"/>
          <w:sz w:val="22"/>
          <w:szCs w:val="22"/>
          <w:rtl/>
        </w:rPr>
        <w:footnoteReference w:id="6"/>
      </w:r>
      <w:r w:rsidRPr="000A4255">
        <w:rPr>
          <w:rFonts w:ascii="Alef" w:hAnsi="Alef" w:cs="Alef"/>
          <w:sz w:val="22"/>
          <w:szCs w:val="22"/>
          <w:rtl/>
        </w:rPr>
        <w:t xml:space="preserve"> על פי הערכותיה של רציו, ההסתברות לגילוי גז טבעי עומדת על 36%, וכמות משאבי הגז הפוטנציאלית המשוערת עומדת על 100 </w:t>
      </w:r>
      <w:r w:rsidRPr="000A4255">
        <w:rPr>
          <w:rFonts w:ascii="Alef" w:hAnsi="Alef" w:cs="Alef"/>
          <w:sz w:val="22"/>
          <w:szCs w:val="22"/>
        </w:rPr>
        <w:t>BCM</w:t>
      </w:r>
      <w:r w:rsidRPr="000A4255">
        <w:rPr>
          <w:rFonts w:ascii="Alef" w:hAnsi="Alef" w:cs="Alef"/>
          <w:sz w:val="22"/>
          <w:szCs w:val="22"/>
          <w:rtl/>
        </w:rPr>
        <w:t>, על פי האומדן הגבוה ביותר.</w:t>
      </w:r>
      <w:r w:rsidR="00946A18" w:rsidRPr="000A4255">
        <w:rPr>
          <w:rStyle w:val="FootnoteReference"/>
          <w:rFonts w:ascii="Alef" w:hAnsi="Alef" w:cs="Alef"/>
          <w:sz w:val="22"/>
          <w:szCs w:val="22"/>
          <w:rtl/>
        </w:rPr>
        <w:footnoteReference w:id="7"/>
      </w:r>
      <w:r w:rsidRPr="000A4255">
        <w:rPr>
          <w:rFonts w:ascii="Alef" w:hAnsi="Alef" w:cs="Alef"/>
          <w:sz w:val="22"/>
          <w:szCs w:val="22"/>
          <w:rtl/>
        </w:rPr>
        <w:t xml:space="preserve"> </w:t>
      </w:r>
    </w:p>
    <w:p w14:paraId="0B9F4DAF" w14:textId="05DB93EA"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לאחר קבלת הרישיון מכרה רציו חלקים ברישיון לשותפותיה הנוכחיות.</w:t>
      </w:r>
      <w:r w:rsidRPr="000A4255">
        <w:rPr>
          <w:rStyle w:val="FootnoteReference"/>
          <w:rFonts w:ascii="Alef" w:hAnsi="Alef" w:cs="Alef"/>
          <w:sz w:val="22"/>
          <w:szCs w:val="22"/>
          <w:rtl/>
        </w:rPr>
        <w:footnoteReference w:id="8"/>
      </w:r>
      <w:r w:rsidRPr="000A4255">
        <w:rPr>
          <w:rFonts w:ascii="Alef" w:hAnsi="Alef" w:cs="Alef"/>
          <w:sz w:val="22"/>
          <w:szCs w:val="22"/>
          <w:rtl/>
        </w:rPr>
        <w:t xml:space="preserve"> פעילויות של חיפוש נפט וגז טבעי בים מתבצעות בדרך כלל בהשתתפות מספר שותפים, וזאת על מנת לחלק את הסיכון הפיננסי הגלום בפעילויות עתירות הון מעין אלו. כעת מבקשים הצדדים להתיר לדלק </w:t>
      </w:r>
      <w:r w:rsidR="003357F8" w:rsidRPr="000A4255">
        <w:rPr>
          <w:rFonts w:ascii="Alef" w:hAnsi="Alef" w:cs="Alef"/>
          <w:sz w:val="22"/>
          <w:szCs w:val="22"/>
          <w:rtl/>
        </w:rPr>
        <w:t xml:space="preserve">קידוחים </w:t>
      </w:r>
      <w:r w:rsidRPr="000A4255">
        <w:rPr>
          <w:rFonts w:ascii="Alef" w:hAnsi="Alef" w:cs="Alef"/>
          <w:sz w:val="22"/>
          <w:szCs w:val="22"/>
          <w:rtl/>
        </w:rPr>
        <w:t>לרכוש מרציו 24.99% מהזכויות ברישיון רועי,</w:t>
      </w:r>
      <w:r w:rsidRPr="000A4255">
        <w:rPr>
          <w:rStyle w:val="FootnoteReference"/>
          <w:rFonts w:ascii="Alef" w:hAnsi="Alef" w:cs="Alef"/>
          <w:sz w:val="22"/>
          <w:szCs w:val="22"/>
          <w:rtl/>
        </w:rPr>
        <w:footnoteReference w:id="9"/>
      </w:r>
      <w:r w:rsidRPr="000A4255">
        <w:rPr>
          <w:rFonts w:ascii="Alef" w:hAnsi="Alef" w:cs="Alef"/>
          <w:sz w:val="22"/>
          <w:szCs w:val="22"/>
          <w:rtl/>
        </w:rPr>
        <w:t xml:space="preserve"> כך שלאחר השלמת העסקה, רציו תחזיק ב-45.01% מהזכויות ברישיון רועי; דלק </w:t>
      </w:r>
      <w:r w:rsidR="003357F8" w:rsidRPr="000A4255">
        <w:rPr>
          <w:rFonts w:ascii="Alef" w:hAnsi="Alef" w:cs="Alef"/>
          <w:sz w:val="22"/>
          <w:szCs w:val="22"/>
          <w:rtl/>
        </w:rPr>
        <w:t xml:space="preserve">קידוחים </w:t>
      </w:r>
      <w:r w:rsidRPr="000A4255">
        <w:rPr>
          <w:rFonts w:ascii="Alef" w:hAnsi="Alef" w:cs="Alef"/>
          <w:sz w:val="22"/>
          <w:szCs w:val="22"/>
          <w:rtl/>
        </w:rPr>
        <w:t>ב-24.99%; אדיסון ב-20%; והזדמנות</w:t>
      </w:r>
      <w:r w:rsidR="000D373A" w:rsidRPr="000A4255">
        <w:rPr>
          <w:rFonts w:ascii="Alef" w:hAnsi="Alef" w:cs="Alef"/>
          <w:sz w:val="22"/>
          <w:szCs w:val="22"/>
          <w:rtl/>
        </w:rPr>
        <w:t xml:space="preserve"> ישראלית</w:t>
      </w:r>
      <w:r w:rsidRPr="000A4255">
        <w:rPr>
          <w:rFonts w:ascii="Alef" w:hAnsi="Alef" w:cs="Alef"/>
          <w:sz w:val="22"/>
          <w:szCs w:val="22"/>
          <w:rtl/>
        </w:rPr>
        <w:t xml:space="preserve"> ב-10%. </w:t>
      </w:r>
    </w:p>
    <w:p w14:paraId="7973E85F" w14:textId="19B6C7E3"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על פי ההסדר, כל אחד מבעלי הזכויות ברישיון יישא בכל עלויות החיפוש, הפיתוח</w:t>
      </w:r>
      <w:r w:rsidR="009C0D53" w:rsidRPr="000A4255">
        <w:rPr>
          <w:rFonts w:ascii="Alef" w:hAnsi="Alef" w:cs="Alef"/>
          <w:sz w:val="22"/>
          <w:szCs w:val="22"/>
          <w:rtl/>
        </w:rPr>
        <w:t>,</w:t>
      </w:r>
      <w:r w:rsidRPr="000A4255">
        <w:rPr>
          <w:rFonts w:ascii="Alef" w:hAnsi="Alef" w:cs="Alef"/>
          <w:sz w:val="22"/>
          <w:szCs w:val="22"/>
          <w:rtl/>
        </w:rPr>
        <w:t xml:space="preserve"> ההפקה </w:t>
      </w:r>
      <w:r w:rsidR="00886EF6" w:rsidRPr="000A4255">
        <w:rPr>
          <w:rFonts w:ascii="Alef" w:hAnsi="Alef" w:cs="Alef"/>
          <w:sz w:val="22"/>
          <w:szCs w:val="22"/>
          <w:rtl/>
        </w:rPr>
        <w:t xml:space="preserve">והשיווק </w:t>
      </w:r>
      <w:r w:rsidRPr="000A4255">
        <w:rPr>
          <w:rFonts w:ascii="Alef" w:hAnsi="Alef" w:cs="Alef"/>
          <w:sz w:val="22"/>
          <w:szCs w:val="22"/>
          <w:rtl/>
        </w:rPr>
        <w:t>לפי חלקו, ויהיה זכאי לחלקו ברווחים ממכירת כל נפט או גז טבעי שיימצא בשטח הרישיון. עוד קובע ההסדר כי בעלי הזכויות יהיו שותפים למלוא המידע הטכני והמסחרי בנוגע לרישיון וליתר הפעילויות המשותפות במסגרתו. תקופת ההסדר היא לכל אורך חיי הרישיון, לרבות אם יהפוך ברבות הימים לחזקה, ועד למכירת כלל הציוד והמתקנים שישמשו לצורך הפרויקט, לכשתסתיים פעילותו.</w:t>
      </w:r>
    </w:p>
    <w:p w14:paraId="6EA66E62"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hAnsi="Alef" w:cs="Alef"/>
          <w:sz w:val="22"/>
          <w:szCs w:val="22"/>
          <w:rtl/>
        </w:rPr>
      </w:pPr>
      <w:r w:rsidRPr="000A4255">
        <w:rPr>
          <w:rFonts w:ascii="Alef" w:eastAsia="Times New Roman" w:hAnsi="Alef" w:cs="Alef"/>
          <w:b/>
          <w:bCs/>
          <w:kern w:val="36"/>
          <w:sz w:val="20"/>
          <w:szCs w:val="22"/>
          <w:rtl/>
        </w:rPr>
        <w:t>רקע לניתוח השפעתו של ההסדר על התחרות – שוק הגז הטבעי</w:t>
      </w:r>
    </w:p>
    <w:p w14:paraId="01E598C5" w14:textId="1E5B2B29"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sz w:val="22"/>
          <w:szCs w:val="22"/>
          <w:rtl/>
        </w:rPr>
        <w:lastRenderedPageBreak/>
        <w:t>בשנים האחרונות הפך הגז הטבעי במשק הישראלי למרכיב המרכזי בסל הדלקים לייצור חשמל וכן למקור אנרגיה משמעותי לתעשייה בישראל. בהתאם לכך, מדיניות הממשלה היא להגביר את השימוש בגז טבעי ולעודד את פיתוחם של מאגרי גז טבעי נוספים.</w:t>
      </w:r>
      <w:r w:rsidRPr="000A4255">
        <w:rPr>
          <w:rStyle w:val="FootnoteReference"/>
          <w:rFonts w:ascii="Alef" w:hAnsi="Alef" w:cs="Alef"/>
          <w:sz w:val="22"/>
          <w:szCs w:val="22"/>
          <w:rtl/>
        </w:rPr>
        <w:footnoteReference w:id="10"/>
      </w:r>
      <w:r w:rsidRPr="000A4255">
        <w:rPr>
          <w:rFonts w:ascii="Alef" w:hAnsi="Alef" w:cs="Alef"/>
          <w:sz w:val="22"/>
          <w:szCs w:val="22"/>
          <w:rtl/>
        </w:rPr>
        <w:t xml:space="preserve"> </w:t>
      </w:r>
    </w:p>
    <w:p w14:paraId="60227815" w14:textId="430D7453"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sz w:val="22"/>
          <w:szCs w:val="22"/>
          <w:rtl/>
        </w:rPr>
        <w:t>מדינת ישראל מחלקת רישיונות חיפוש גז טבעי ימיים במסגרת הליכים תחרותיים שהיא מקיימת מעת לעת. רישיון חיפוש ניתן לגורם יחיד או לקבוצה אשר הוכיחו יכולת כלכלית ומקצועית לעמידה בתנאי תכנית העבודה הקבועה ברישיון. תקופת הרישיון המקורית היא ל-3 שנים. בכפוף לחוק הנפט התשי"ב-1952</w:t>
      </w:r>
      <w:r w:rsidR="00EB7DAE" w:rsidRPr="000A4255">
        <w:rPr>
          <w:rFonts w:ascii="Alef" w:hAnsi="Alef" w:cs="Alef"/>
          <w:sz w:val="22"/>
          <w:szCs w:val="22"/>
          <w:rtl/>
        </w:rPr>
        <w:t xml:space="preserve"> (להלן </w:t>
      </w:r>
      <w:r w:rsidR="00EB7DAE" w:rsidRPr="000A4255">
        <w:rPr>
          <w:rFonts w:ascii="Alef" w:hAnsi="Alef" w:cs="Alef"/>
          <w:b/>
          <w:bCs/>
          <w:sz w:val="22"/>
          <w:szCs w:val="22"/>
          <w:rtl/>
        </w:rPr>
        <w:t>חוק הנפט</w:t>
      </w:r>
      <w:r w:rsidR="00EB7DAE" w:rsidRPr="000A4255">
        <w:rPr>
          <w:rFonts w:ascii="Alef" w:hAnsi="Alef" w:cs="Alef"/>
          <w:sz w:val="22"/>
          <w:szCs w:val="22"/>
          <w:rtl/>
        </w:rPr>
        <w:t>)</w:t>
      </w:r>
      <w:r w:rsidRPr="000A4255">
        <w:rPr>
          <w:rFonts w:ascii="Alef" w:hAnsi="Alef" w:cs="Alef"/>
          <w:sz w:val="22"/>
          <w:szCs w:val="22"/>
          <w:rtl/>
        </w:rPr>
        <w:t>,</w:t>
      </w:r>
      <w:r w:rsidRPr="000A4255">
        <w:rPr>
          <w:rStyle w:val="FootnoteReference"/>
          <w:rFonts w:ascii="Alef" w:hAnsi="Alef" w:cs="Alef"/>
          <w:sz w:val="22"/>
          <w:szCs w:val="22"/>
          <w:rtl/>
        </w:rPr>
        <w:footnoteReference w:id="11"/>
      </w:r>
      <w:r w:rsidRPr="000A4255">
        <w:rPr>
          <w:rFonts w:ascii="Alef" w:hAnsi="Alef" w:cs="Alef"/>
          <w:sz w:val="22"/>
          <w:szCs w:val="22"/>
          <w:rtl/>
        </w:rPr>
        <w:t xml:space="preserve"> תקופת הרישיון ניתנת להארכה, ובלבד שסך כל תקופת הרישיון לא תתארך יותר משבע שנים לאחר נתינתו, ושבמהלך תקופה זו בעל הרישיון יקדח קידוח ניסיון. כיום בישראל קיימים כ-</w:t>
      </w:r>
      <w:r w:rsidR="00C52D5B" w:rsidRPr="000A4255">
        <w:rPr>
          <w:rFonts w:ascii="Alef" w:hAnsi="Alef" w:cs="Alef"/>
          <w:sz w:val="22"/>
          <w:szCs w:val="22"/>
          <w:rtl/>
        </w:rPr>
        <w:t>20</w:t>
      </w:r>
      <w:r w:rsidRPr="000A4255">
        <w:rPr>
          <w:rFonts w:ascii="Alef" w:hAnsi="Alef" w:cs="Alef"/>
          <w:sz w:val="22"/>
          <w:szCs w:val="22"/>
          <w:rtl/>
        </w:rPr>
        <w:t xml:space="preserve"> רישיונות חיפוש</w:t>
      </w:r>
      <w:r w:rsidR="00A54B95" w:rsidRPr="000A4255">
        <w:rPr>
          <w:rFonts w:ascii="Alef" w:hAnsi="Alef" w:cs="Alef"/>
          <w:sz w:val="22"/>
          <w:szCs w:val="22"/>
          <w:rtl/>
        </w:rPr>
        <w:t xml:space="preserve"> ימיים</w:t>
      </w:r>
      <w:r w:rsidRPr="000A4255">
        <w:rPr>
          <w:rFonts w:ascii="Alef" w:hAnsi="Alef" w:cs="Alef"/>
          <w:sz w:val="22"/>
          <w:szCs w:val="22"/>
          <w:rtl/>
        </w:rPr>
        <w:t xml:space="preserve"> תקפים</w:t>
      </w:r>
      <w:r w:rsidRPr="000A4255">
        <w:rPr>
          <w:rStyle w:val="FootnoteReference"/>
          <w:rFonts w:ascii="Alef" w:hAnsi="Alef" w:cs="Alef"/>
          <w:sz w:val="22"/>
          <w:szCs w:val="22"/>
          <w:rtl/>
        </w:rPr>
        <w:footnoteReference w:id="12"/>
      </w:r>
      <w:r w:rsidRPr="000A4255">
        <w:rPr>
          <w:rFonts w:ascii="Alef" w:hAnsi="Alef" w:cs="Alef"/>
          <w:sz w:val="22"/>
          <w:szCs w:val="22"/>
          <w:rtl/>
        </w:rPr>
        <w:t>, אחד מהם הוא רישיון רועי.</w:t>
      </w:r>
      <w:r w:rsidR="0066458C" w:rsidRPr="000A4255">
        <w:rPr>
          <w:rFonts w:ascii="Alef" w:hAnsi="Alef" w:cs="Alef"/>
          <w:sz w:val="22"/>
          <w:szCs w:val="22"/>
          <w:rtl/>
        </w:rPr>
        <w:t xml:space="preserve"> על אף ריבוי הרישיונות, מספר הגורמים והקבוצות המחזיקים ברישיונות אלו הוא מצומצם, שכן גורם אחד רשאי להחזיק ביותר מרישיון אחד.</w:t>
      </w:r>
      <w:r w:rsidR="00373279" w:rsidRPr="000A4255">
        <w:rPr>
          <w:rStyle w:val="FootnoteReference"/>
          <w:rFonts w:ascii="Alef" w:hAnsi="Alef" w:cs="Alef"/>
          <w:sz w:val="22"/>
          <w:szCs w:val="22"/>
          <w:rtl/>
        </w:rPr>
        <w:footnoteReference w:id="13"/>
      </w:r>
    </w:p>
    <w:p w14:paraId="2565B884" w14:textId="4BA36DA1"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sz w:val="22"/>
          <w:szCs w:val="22"/>
          <w:rtl/>
        </w:rPr>
        <w:t xml:space="preserve">בעל רישיון חיפוש אשר קיבל את אישור הממונה על ענייני הנפט כי הגיע לתגלית בשטח הרישיון (לאחר שביצע קידוח במסגרת הרישיון, ובעקבות הקידוח ומבחני ההפקה שנערכו בו נמצאו שכבות המכילות גז טבעי או נפט בהיקף אשר המתאים להפקה מסחרית), זכאי לקבל שטר חזקה על כל שטח שיבחר בתוך שטח הרישיון. מכאן מתחיל הליך בן מספר שלבים שבסופו מופק גז בכמות מסחרית מהמאגר. בעל החזקה, יממן, יקים ויפעיל את מערכת ההפקה ויתחזק אותה לצורך פעילותה השוטפת. תקופת החזקה היא 30 שנה, וניתן להאריכה בעוד 20 שנים נוספות. </w:t>
      </w:r>
    </w:p>
    <w:p w14:paraId="4A64663C" w14:textId="77777777"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lastRenderedPageBreak/>
        <w:t xml:space="preserve">על פי העולה מדו"ח הוועדה לבחינת מדיניות הממשלה בנושא משק הגז הטבעי בישראל (להלן </w:t>
      </w:r>
      <w:r w:rsidRPr="000A4255">
        <w:rPr>
          <w:rFonts w:ascii="Alef" w:hAnsi="Alef" w:cs="Alef"/>
          <w:b/>
          <w:bCs/>
          <w:sz w:val="22"/>
          <w:szCs w:val="22"/>
          <w:rtl/>
        </w:rPr>
        <w:t>ועדת אדירי</w:t>
      </w:r>
      <w:r w:rsidRPr="000A4255">
        <w:rPr>
          <w:rFonts w:ascii="Alef" w:hAnsi="Alef" w:cs="Alef"/>
          <w:sz w:val="22"/>
          <w:szCs w:val="22"/>
          <w:rtl/>
        </w:rPr>
        <w:t>)</w:t>
      </w:r>
      <w:r w:rsidRPr="000A4255">
        <w:rPr>
          <w:rStyle w:val="FootnoteReference"/>
          <w:rFonts w:ascii="Alef" w:hAnsi="Alef" w:cs="Alef"/>
          <w:sz w:val="22"/>
          <w:szCs w:val="22"/>
          <w:rtl/>
        </w:rPr>
        <w:footnoteReference w:id="14"/>
      </w:r>
      <w:r w:rsidRPr="000A4255">
        <w:rPr>
          <w:rFonts w:ascii="Alef" w:hAnsi="Alef" w:cs="Alef"/>
          <w:sz w:val="22"/>
          <w:szCs w:val="22"/>
          <w:rtl/>
        </w:rPr>
        <w:t xml:space="preserve"> אשר המלצותיה אומצו בהחלטת ממשלה מס' 4442 מתאריך 6.1.2019,</w:t>
      </w:r>
      <w:r w:rsidRPr="000A4255">
        <w:rPr>
          <w:rStyle w:val="FootnoteReference"/>
          <w:rFonts w:ascii="Alef" w:hAnsi="Alef" w:cs="Alef"/>
          <w:sz w:val="22"/>
          <w:szCs w:val="22"/>
          <w:rtl/>
        </w:rPr>
        <w:footnoteReference w:id="15"/>
      </w:r>
      <w:r w:rsidRPr="000A4255">
        <w:rPr>
          <w:rFonts w:ascii="Alef" w:hAnsi="Alef" w:cs="Alef"/>
          <w:sz w:val="22"/>
          <w:szCs w:val="22"/>
          <w:rtl/>
        </w:rPr>
        <w:t xml:space="preserve"> כיום יש בישראל מספר חד ספרתי של חזקות גז טבעי, רובן קטנות.</w:t>
      </w:r>
      <w:r w:rsidRPr="000A4255">
        <w:rPr>
          <w:rStyle w:val="FootnoteReference"/>
          <w:rFonts w:ascii="Alef" w:hAnsi="Alef" w:cs="Alef"/>
          <w:sz w:val="22"/>
          <w:szCs w:val="22"/>
          <w:rtl/>
        </w:rPr>
        <w:footnoteReference w:id="16"/>
      </w:r>
      <w:r w:rsidRPr="000A4255">
        <w:rPr>
          <w:rFonts w:ascii="Alef" w:hAnsi="Alef" w:cs="Alef"/>
          <w:sz w:val="22"/>
          <w:szCs w:val="22"/>
          <w:rtl/>
        </w:rPr>
        <w:t xml:space="preserve"> לצד החזקות הקטנות, ישנן 3 חזקות משמעותיות – מאגר הגז "לווייתן", מאגר הגז "תמר" ומאגרי הגז "כריש" ו"תנין". נכון להיום, מאגר הגז "תמר" עודנו מהווה המקור העיקרי לאספקת גז טבעי בישראל. עם זאת, מאגר הגז "לוויתן" צפוי להתחיל לספק גז טבעי לצרכנים לקראת סוף שנת 2019, ומאגרי הגז "כריש" ו"תנין" צפויים גם הם לספק גז טבעי לקראת תחילת שנת 2021. מאגרים אלו חתמו על חוזי אספקת גז עתידיים עם לקוחות שונים. לוח מספר 1 מציג את בעלי הזכויות בכל אחת מהחזקות הללו, וכן את כמות הגז הטבעי המצויה בהן, ואת הכמות שכבר נמכרה בחוזים שנחתמו בין שותפויות הגז לבין כלל הלקוחות (לרבות ייצוא) ובין שותפויות הגז לבין הלקוחות המקומיים בלבד (צריכה מקומית).</w:t>
      </w:r>
    </w:p>
    <w:p w14:paraId="75D69444" w14:textId="77777777" w:rsidR="00CE6A6A" w:rsidRPr="000A4255" w:rsidRDefault="00CE6A6A" w:rsidP="000A4255">
      <w:pPr>
        <w:bidi/>
        <w:spacing w:before="100" w:beforeAutospacing="1" w:after="100" w:afterAutospacing="1" w:line="276" w:lineRule="auto"/>
        <w:jc w:val="both"/>
        <w:rPr>
          <w:rFonts w:ascii="Alef" w:hAnsi="Alef" w:cs="Alef"/>
          <w:b/>
          <w:bCs/>
          <w:sz w:val="18"/>
          <w:szCs w:val="18"/>
          <w:u w:val="single"/>
          <w:rtl/>
        </w:rPr>
      </w:pPr>
    </w:p>
    <w:p w14:paraId="0D7AD266" w14:textId="77777777" w:rsidR="00CE6A6A" w:rsidRPr="000A4255" w:rsidRDefault="00CE6A6A" w:rsidP="000A4255">
      <w:pPr>
        <w:bidi/>
        <w:spacing w:before="100" w:beforeAutospacing="1" w:after="100" w:afterAutospacing="1" w:line="276" w:lineRule="auto"/>
        <w:jc w:val="both"/>
        <w:rPr>
          <w:rFonts w:ascii="Alef" w:hAnsi="Alef" w:cs="Alef"/>
          <w:b/>
          <w:bCs/>
          <w:sz w:val="18"/>
          <w:szCs w:val="18"/>
          <w:u w:val="single"/>
          <w:rtl/>
        </w:rPr>
      </w:pPr>
    </w:p>
    <w:p w14:paraId="1CC63AC4" w14:textId="77777777" w:rsidR="00CE6A6A" w:rsidRPr="000A4255" w:rsidRDefault="00CE6A6A" w:rsidP="000A4255">
      <w:pPr>
        <w:bidi/>
        <w:spacing w:before="100" w:beforeAutospacing="1" w:after="100" w:afterAutospacing="1" w:line="276" w:lineRule="auto"/>
        <w:jc w:val="both"/>
        <w:rPr>
          <w:rFonts w:ascii="Alef" w:hAnsi="Alef" w:cs="Alef"/>
          <w:b/>
          <w:bCs/>
          <w:sz w:val="18"/>
          <w:szCs w:val="18"/>
          <w:u w:val="single"/>
          <w:rtl/>
        </w:rPr>
      </w:pPr>
    </w:p>
    <w:p w14:paraId="754F067D" w14:textId="77777777" w:rsidR="00CE6A6A" w:rsidRPr="000A4255" w:rsidRDefault="00CE6A6A" w:rsidP="000A4255">
      <w:pPr>
        <w:bidi/>
        <w:spacing w:before="100" w:beforeAutospacing="1" w:after="100" w:afterAutospacing="1" w:line="276" w:lineRule="auto"/>
        <w:jc w:val="both"/>
        <w:rPr>
          <w:rFonts w:ascii="Alef" w:hAnsi="Alef" w:cs="Alef"/>
          <w:b/>
          <w:bCs/>
          <w:sz w:val="18"/>
          <w:szCs w:val="18"/>
          <w:u w:val="single"/>
          <w:rtl/>
        </w:rPr>
      </w:pPr>
    </w:p>
    <w:p w14:paraId="11A5F8B5" w14:textId="77777777" w:rsidR="00CE6A6A" w:rsidRPr="000A4255" w:rsidRDefault="00CE6A6A" w:rsidP="000A4255">
      <w:pPr>
        <w:bidi/>
        <w:spacing w:before="100" w:beforeAutospacing="1" w:after="100" w:afterAutospacing="1" w:line="276" w:lineRule="auto"/>
        <w:jc w:val="both"/>
        <w:rPr>
          <w:rFonts w:ascii="Alef" w:hAnsi="Alef" w:cs="Alef"/>
          <w:b/>
          <w:bCs/>
          <w:sz w:val="18"/>
          <w:szCs w:val="18"/>
          <w:u w:val="single"/>
          <w:rtl/>
        </w:rPr>
      </w:pPr>
    </w:p>
    <w:p w14:paraId="08B2F42D" w14:textId="2817E3BC" w:rsidR="00380C33" w:rsidRPr="000A4255" w:rsidRDefault="00380C33" w:rsidP="000A4255">
      <w:pPr>
        <w:bidi/>
        <w:spacing w:before="100" w:beforeAutospacing="1" w:after="100" w:afterAutospacing="1" w:line="276" w:lineRule="auto"/>
        <w:jc w:val="both"/>
        <w:rPr>
          <w:rFonts w:ascii="Alef" w:hAnsi="Alef" w:cs="Alef"/>
          <w:b/>
          <w:bCs/>
          <w:sz w:val="18"/>
          <w:szCs w:val="18"/>
          <w:u w:val="single"/>
          <w:rtl/>
        </w:rPr>
      </w:pPr>
      <w:r w:rsidRPr="000A4255">
        <w:rPr>
          <w:rFonts w:ascii="Alef" w:hAnsi="Alef" w:cs="Alef"/>
          <w:b/>
          <w:bCs/>
          <w:sz w:val="18"/>
          <w:szCs w:val="18"/>
          <w:u w:val="single"/>
          <w:rtl/>
        </w:rPr>
        <w:t>לוח מספר 1 – פירוט החזקות המשמעותיות בישראל</w:t>
      </w:r>
    </w:p>
    <w:tbl>
      <w:tblPr>
        <w:bidiVisual/>
        <w:tblW w:w="5125" w:type="pct"/>
        <w:tblInd w:w="-208" w:type="dxa"/>
        <w:tblLayout w:type="fixed"/>
        <w:tblLook w:val="04A0" w:firstRow="1" w:lastRow="0" w:firstColumn="1" w:lastColumn="0" w:noHBand="0" w:noVBand="1"/>
      </w:tblPr>
      <w:tblGrid>
        <w:gridCol w:w="1427"/>
        <w:gridCol w:w="2406"/>
        <w:gridCol w:w="1105"/>
        <w:gridCol w:w="1002"/>
        <w:gridCol w:w="1282"/>
        <w:gridCol w:w="1281"/>
      </w:tblGrid>
      <w:tr w:rsidR="00380C33" w:rsidRPr="000A4255" w14:paraId="13DB5BDD" w14:textId="77777777" w:rsidTr="006E3C3D">
        <w:trPr>
          <w:trHeight w:val="276"/>
        </w:trPr>
        <w:tc>
          <w:tcPr>
            <w:tcW w:w="8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E16CC" w14:textId="77777777" w:rsidR="00380C33" w:rsidRPr="000A4255" w:rsidRDefault="00380C33" w:rsidP="000A4255">
            <w:pPr>
              <w:bidi/>
              <w:spacing w:line="276" w:lineRule="auto"/>
              <w:jc w:val="center"/>
              <w:rPr>
                <w:rFonts w:ascii="Alef" w:eastAsia="Times New Roman" w:hAnsi="Alef" w:cs="Alef"/>
                <w:b/>
                <w:bCs/>
                <w:color w:val="000000"/>
                <w:sz w:val="22"/>
                <w:szCs w:val="22"/>
              </w:rPr>
            </w:pPr>
            <w:r w:rsidRPr="000A4255">
              <w:rPr>
                <w:rFonts w:ascii="Alef" w:eastAsia="Times New Roman" w:hAnsi="Alef" w:cs="Alef"/>
                <w:b/>
                <w:bCs/>
                <w:color w:val="000000"/>
                <w:sz w:val="22"/>
                <w:szCs w:val="22"/>
                <w:rtl/>
              </w:rPr>
              <w:t>שם החזקה</w:t>
            </w:r>
          </w:p>
        </w:tc>
        <w:tc>
          <w:tcPr>
            <w:tcW w:w="14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D6FA4" w14:textId="77777777" w:rsidR="00380C33" w:rsidRPr="000A4255" w:rsidRDefault="00380C33" w:rsidP="000A4255">
            <w:pPr>
              <w:bidi/>
              <w:spacing w:line="276" w:lineRule="auto"/>
              <w:jc w:val="center"/>
              <w:rPr>
                <w:rFonts w:ascii="Alef" w:eastAsia="Times New Roman" w:hAnsi="Alef" w:cs="Alef"/>
                <w:b/>
                <w:bCs/>
                <w:color w:val="000000"/>
                <w:sz w:val="22"/>
                <w:szCs w:val="22"/>
                <w:rtl/>
              </w:rPr>
            </w:pPr>
            <w:r w:rsidRPr="000A4255">
              <w:rPr>
                <w:rFonts w:ascii="Alef" w:eastAsia="Times New Roman" w:hAnsi="Alef" w:cs="Alef"/>
                <w:b/>
                <w:bCs/>
                <w:color w:val="000000"/>
                <w:sz w:val="22"/>
                <w:szCs w:val="22"/>
                <w:rtl/>
              </w:rPr>
              <w:softHyphen/>
              <w:t>בעלים</w:t>
            </w:r>
          </w:p>
        </w:tc>
        <w:tc>
          <w:tcPr>
            <w:tcW w:w="6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0D71F" w14:textId="77777777" w:rsidR="00380C33" w:rsidRPr="000A4255" w:rsidRDefault="00380C33" w:rsidP="000A4255">
            <w:pPr>
              <w:bidi/>
              <w:spacing w:line="276" w:lineRule="auto"/>
              <w:jc w:val="center"/>
              <w:rPr>
                <w:rFonts w:ascii="Alef" w:eastAsia="Times New Roman" w:hAnsi="Alef" w:cs="Alef"/>
                <w:b/>
                <w:bCs/>
                <w:color w:val="000000"/>
                <w:sz w:val="22"/>
                <w:szCs w:val="22"/>
                <w:rtl/>
              </w:rPr>
            </w:pPr>
            <w:r w:rsidRPr="000A4255">
              <w:rPr>
                <w:rFonts w:ascii="Alef" w:eastAsia="Times New Roman" w:hAnsi="Alef" w:cs="Alef"/>
                <w:b/>
                <w:bCs/>
                <w:color w:val="000000"/>
                <w:sz w:val="22"/>
                <w:szCs w:val="22"/>
                <w:rtl/>
              </w:rPr>
              <w:t>גודל החזקה (</w:t>
            </w:r>
            <w:r w:rsidRPr="000A4255">
              <w:rPr>
                <w:rFonts w:ascii="Alef" w:eastAsia="Times New Roman" w:hAnsi="Alef" w:cs="Alef"/>
                <w:b/>
                <w:bCs/>
                <w:color w:val="000000"/>
                <w:sz w:val="22"/>
                <w:szCs w:val="22"/>
              </w:rPr>
              <w:t>BCM</w:t>
            </w:r>
            <w:r w:rsidRPr="000A4255">
              <w:rPr>
                <w:rFonts w:ascii="Alef" w:eastAsia="Times New Roman" w:hAnsi="Alef" w:cs="Alef"/>
                <w:b/>
                <w:bCs/>
                <w:color w:val="000000"/>
                <w:sz w:val="22"/>
                <w:szCs w:val="22"/>
                <w:rtl/>
              </w:rPr>
              <w:t>)</w:t>
            </w:r>
            <w:r w:rsidRPr="000A4255">
              <w:rPr>
                <w:rStyle w:val="FootnoteReference"/>
                <w:rFonts w:ascii="Alef" w:eastAsia="Times New Roman" w:hAnsi="Alef" w:cs="Alef"/>
                <w:b/>
                <w:bCs/>
                <w:color w:val="000000"/>
                <w:sz w:val="22"/>
                <w:szCs w:val="22"/>
                <w:rtl/>
              </w:rPr>
              <w:footnoteReference w:id="17"/>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9935C" w14:textId="77777777" w:rsidR="00380C33" w:rsidRPr="000A4255" w:rsidRDefault="00380C33" w:rsidP="000A4255">
            <w:pPr>
              <w:bidi/>
              <w:spacing w:line="276" w:lineRule="auto"/>
              <w:jc w:val="center"/>
              <w:rPr>
                <w:rFonts w:ascii="Alef" w:eastAsia="Times New Roman" w:hAnsi="Alef" w:cs="Alef"/>
                <w:b/>
                <w:bCs/>
                <w:color w:val="000000"/>
                <w:sz w:val="22"/>
                <w:szCs w:val="22"/>
                <w:rtl/>
              </w:rPr>
            </w:pPr>
            <w:r w:rsidRPr="000A4255">
              <w:rPr>
                <w:rFonts w:ascii="Alef" w:eastAsia="Times New Roman" w:hAnsi="Alef" w:cs="Alef"/>
                <w:b/>
                <w:bCs/>
                <w:color w:val="000000"/>
                <w:sz w:val="22"/>
                <w:szCs w:val="22"/>
                <w:rtl/>
              </w:rPr>
              <w:t>שנת תחילת ההפקה</w:t>
            </w:r>
          </w:p>
        </w:tc>
        <w:tc>
          <w:tcPr>
            <w:tcW w:w="7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6F4C2" w14:textId="77777777" w:rsidR="00380C33" w:rsidRPr="000A4255" w:rsidRDefault="00380C33" w:rsidP="000A4255">
            <w:pPr>
              <w:bidi/>
              <w:spacing w:line="276" w:lineRule="auto"/>
              <w:jc w:val="center"/>
              <w:rPr>
                <w:rFonts w:ascii="Alef" w:eastAsia="Times New Roman" w:hAnsi="Alef" w:cs="Alef"/>
                <w:b/>
                <w:bCs/>
                <w:color w:val="000000"/>
                <w:sz w:val="22"/>
                <w:szCs w:val="22"/>
              </w:rPr>
            </w:pPr>
            <w:r w:rsidRPr="000A4255">
              <w:rPr>
                <w:rFonts w:ascii="Alef" w:eastAsia="Times New Roman" w:hAnsi="Alef" w:cs="Alef"/>
                <w:b/>
                <w:bCs/>
                <w:color w:val="000000"/>
                <w:sz w:val="22"/>
                <w:szCs w:val="22"/>
                <w:rtl/>
              </w:rPr>
              <w:t>כמות הגז המכורה בחוזים</w:t>
            </w:r>
            <w:r w:rsidRPr="000A4255">
              <w:rPr>
                <w:rStyle w:val="FootnoteReference"/>
                <w:rFonts w:ascii="Alef" w:eastAsia="Times New Roman" w:hAnsi="Alef" w:cs="Alef"/>
                <w:b/>
                <w:bCs/>
                <w:color w:val="000000"/>
                <w:sz w:val="18"/>
                <w:szCs w:val="18"/>
              </w:rPr>
              <w:footnoteReference w:id="18"/>
            </w:r>
            <w:r w:rsidRPr="000A4255">
              <w:rPr>
                <w:rStyle w:val="FootnoteReference"/>
                <w:rFonts w:ascii="Alef" w:hAnsi="Alef" w:cs="Alef"/>
                <w:sz w:val="22"/>
                <w:szCs w:val="22"/>
                <w:rtl/>
              </w:rPr>
              <w:t xml:space="preserve"> </w:t>
            </w:r>
            <w:r w:rsidRPr="000A4255">
              <w:rPr>
                <w:rFonts w:ascii="Alef" w:eastAsia="Times New Roman" w:hAnsi="Alef" w:cs="Alef"/>
                <w:b/>
                <w:bCs/>
                <w:color w:val="000000"/>
                <w:sz w:val="22"/>
                <w:szCs w:val="22"/>
                <w:rtl/>
              </w:rPr>
              <w:t>(</w:t>
            </w:r>
            <w:r w:rsidRPr="000A4255">
              <w:rPr>
                <w:rFonts w:ascii="Alef" w:eastAsia="Times New Roman" w:hAnsi="Alef" w:cs="Alef"/>
                <w:b/>
                <w:bCs/>
                <w:color w:val="000000"/>
                <w:sz w:val="22"/>
                <w:szCs w:val="22"/>
              </w:rPr>
              <w:t>(BCM</w:t>
            </w:r>
          </w:p>
        </w:tc>
        <w:tc>
          <w:tcPr>
            <w:tcW w:w="753" w:type="pct"/>
            <w:tcBorders>
              <w:top w:val="single" w:sz="4" w:space="0" w:color="auto"/>
              <w:left w:val="single" w:sz="4" w:space="0" w:color="auto"/>
              <w:bottom w:val="single" w:sz="4" w:space="0" w:color="auto"/>
              <w:right w:val="single" w:sz="4" w:space="0" w:color="auto"/>
            </w:tcBorders>
          </w:tcPr>
          <w:p w14:paraId="57488321" w14:textId="77777777" w:rsidR="00380C33" w:rsidRPr="000A4255" w:rsidRDefault="00380C33" w:rsidP="000A4255">
            <w:pPr>
              <w:bidi/>
              <w:spacing w:line="276" w:lineRule="auto"/>
              <w:jc w:val="center"/>
              <w:rPr>
                <w:rFonts w:ascii="Alef" w:eastAsia="Times New Roman" w:hAnsi="Alef" w:cs="Alef"/>
                <w:b/>
                <w:bCs/>
                <w:color w:val="000000"/>
                <w:sz w:val="22"/>
                <w:szCs w:val="22"/>
                <w:rtl/>
              </w:rPr>
            </w:pPr>
            <w:r w:rsidRPr="000A4255">
              <w:rPr>
                <w:rFonts w:ascii="Alef" w:eastAsia="Times New Roman" w:hAnsi="Alef" w:cs="Alef"/>
                <w:b/>
                <w:bCs/>
                <w:color w:val="000000"/>
                <w:sz w:val="22"/>
                <w:szCs w:val="22"/>
                <w:rtl/>
              </w:rPr>
              <w:t xml:space="preserve">כמות הגז המכורה </w:t>
            </w:r>
            <w:r w:rsidRPr="000A4255">
              <w:rPr>
                <w:rFonts w:ascii="Alef" w:eastAsia="Times New Roman" w:hAnsi="Alef" w:cs="Alef"/>
                <w:b/>
                <w:bCs/>
                <w:color w:val="000000"/>
                <w:sz w:val="22"/>
                <w:szCs w:val="22"/>
                <w:rtl/>
              </w:rPr>
              <w:lastRenderedPageBreak/>
              <w:t>בחוזים ללקוחות מקומיים</w:t>
            </w:r>
            <w:r w:rsidRPr="000A4255">
              <w:rPr>
                <w:rStyle w:val="FootnoteReference"/>
                <w:rFonts w:ascii="Alef" w:eastAsia="Times New Roman" w:hAnsi="Alef" w:cs="Alef"/>
                <w:b/>
                <w:bCs/>
                <w:color w:val="000000"/>
                <w:sz w:val="22"/>
                <w:szCs w:val="22"/>
                <w:rtl/>
              </w:rPr>
              <w:footnoteReference w:id="19"/>
            </w:r>
            <w:r w:rsidRPr="000A4255">
              <w:rPr>
                <w:rFonts w:ascii="Alef" w:eastAsia="Times New Roman" w:hAnsi="Alef" w:cs="Alef"/>
                <w:b/>
                <w:bCs/>
                <w:color w:val="000000"/>
                <w:sz w:val="22"/>
                <w:szCs w:val="22"/>
                <w:rtl/>
              </w:rPr>
              <w:t xml:space="preserve"> (</w:t>
            </w:r>
            <w:r w:rsidRPr="000A4255">
              <w:rPr>
                <w:rFonts w:ascii="Alef" w:eastAsia="Times New Roman" w:hAnsi="Alef" w:cs="Alef"/>
                <w:b/>
                <w:bCs/>
                <w:color w:val="000000"/>
                <w:sz w:val="22"/>
                <w:szCs w:val="22"/>
              </w:rPr>
              <w:t>(BCM</w:t>
            </w:r>
          </w:p>
        </w:tc>
      </w:tr>
      <w:tr w:rsidR="00380C33" w:rsidRPr="000A4255" w14:paraId="47BCE2F3" w14:textId="77777777" w:rsidTr="006E3C3D">
        <w:trPr>
          <w:trHeight w:val="1656"/>
        </w:trPr>
        <w:tc>
          <w:tcPr>
            <w:tcW w:w="839" w:type="pct"/>
            <w:tcBorders>
              <w:top w:val="nil"/>
              <w:left w:val="single" w:sz="4" w:space="0" w:color="auto"/>
              <w:bottom w:val="single" w:sz="4" w:space="0" w:color="auto"/>
              <w:right w:val="single" w:sz="4" w:space="0" w:color="auto"/>
            </w:tcBorders>
            <w:shd w:val="clear" w:color="auto" w:fill="auto"/>
            <w:noWrap/>
            <w:vAlign w:val="center"/>
            <w:hideMark/>
          </w:tcPr>
          <w:p w14:paraId="615FDCB7" w14:textId="77777777" w:rsidR="00380C33" w:rsidRPr="000A4255" w:rsidRDefault="00380C33" w:rsidP="000A4255">
            <w:pPr>
              <w:bidi/>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lastRenderedPageBreak/>
              <w:t>תמר (</w:t>
            </w:r>
            <w:r w:rsidRPr="000A4255">
              <w:rPr>
                <w:rFonts w:ascii="Alef" w:eastAsia="Times New Roman" w:hAnsi="Alef" w:cs="Alef"/>
                <w:color w:val="000000"/>
                <w:sz w:val="22"/>
                <w:szCs w:val="22"/>
              </w:rPr>
              <w:t>I/12</w:t>
            </w:r>
            <w:r w:rsidRPr="000A4255">
              <w:rPr>
                <w:rFonts w:ascii="Alef" w:eastAsia="Times New Roman" w:hAnsi="Alef" w:cs="Alef"/>
                <w:color w:val="000000"/>
                <w:sz w:val="22"/>
                <w:szCs w:val="22"/>
                <w:rtl/>
              </w:rPr>
              <w:t>)</w:t>
            </w:r>
          </w:p>
        </w:tc>
        <w:tc>
          <w:tcPr>
            <w:tcW w:w="1415" w:type="pct"/>
            <w:tcBorders>
              <w:top w:val="nil"/>
              <w:left w:val="single" w:sz="4" w:space="0" w:color="auto"/>
              <w:bottom w:val="single" w:sz="4" w:space="0" w:color="auto"/>
              <w:right w:val="single" w:sz="4" w:space="0" w:color="auto"/>
            </w:tcBorders>
            <w:shd w:val="clear" w:color="auto" w:fill="auto"/>
            <w:vAlign w:val="center"/>
            <w:hideMark/>
          </w:tcPr>
          <w:p w14:paraId="35A3317F" w14:textId="3F08178F" w:rsidR="00380C33" w:rsidRPr="000A4255" w:rsidRDefault="00380C33" w:rsidP="000A4255">
            <w:pPr>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ישראמקו נגב 2 (28.75%)</w:t>
            </w:r>
            <w:r w:rsidRPr="000A4255">
              <w:rPr>
                <w:rFonts w:ascii="Alef" w:eastAsia="Times New Roman" w:hAnsi="Alef" w:cs="Alef"/>
                <w:color w:val="000000"/>
                <w:sz w:val="22"/>
                <w:szCs w:val="22"/>
                <w:rtl/>
              </w:rPr>
              <w:br/>
              <w:t xml:space="preserve"> </w:t>
            </w:r>
            <w:r w:rsidRPr="000A4255">
              <w:rPr>
                <w:rFonts w:ascii="Alef" w:eastAsia="Times New Roman" w:hAnsi="Alef" w:cs="Alef"/>
                <w:color w:val="000000"/>
                <w:sz w:val="22"/>
                <w:szCs w:val="22"/>
              </w:rPr>
              <w:t xml:space="preserve">Noble Energy </w:t>
            </w:r>
            <w:r w:rsidRPr="000A4255">
              <w:rPr>
                <w:rFonts w:ascii="Alef" w:eastAsia="Times New Roman" w:hAnsi="Alef" w:cs="Alef"/>
                <w:color w:val="000000"/>
                <w:sz w:val="22"/>
                <w:szCs w:val="22"/>
                <w:rtl/>
              </w:rPr>
              <w:t xml:space="preserve"> (25%)</w:t>
            </w:r>
            <w:r w:rsidRPr="000A4255">
              <w:rPr>
                <w:rFonts w:ascii="Alef" w:eastAsia="Times New Roman" w:hAnsi="Alef" w:cs="Alef"/>
                <w:color w:val="000000"/>
                <w:sz w:val="22"/>
                <w:szCs w:val="22"/>
                <w:rtl/>
              </w:rPr>
              <w:br/>
              <w:t>דלק</w:t>
            </w:r>
            <w:r w:rsidR="003357F8" w:rsidRPr="000A4255">
              <w:rPr>
                <w:rFonts w:ascii="Alef" w:eastAsia="Times New Roman" w:hAnsi="Alef" w:cs="Alef"/>
                <w:color w:val="000000"/>
                <w:sz w:val="22"/>
                <w:szCs w:val="22"/>
                <w:rtl/>
              </w:rPr>
              <w:t xml:space="preserve"> קידוחים</w:t>
            </w:r>
            <w:r w:rsidRPr="000A4255">
              <w:rPr>
                <w:rFonts w:ascii="Alef" w:eastAsia="Times New Roman" w:hAnsi="Alef" w:cs="Alef"/>
                <w:color w:val="000000"/>
                <w:sz w:val="22"/>
                <w:szCs w:val="22"/>
                <w:rtl/>
              </w:rPr>
              <w:t xml:space="preserve"> (22%) </w:t>
            </w:r>
            <w:r w:rsidRPr="000A4255">
              <w:rPr>
                <w:rStyle w:val="FootnoteReference"/>
                <w:rFonts w:ascii="Alef" w:eastAsia="Times New Roman" w:hAnsi="Alef" w:cs="Alef"/>
                <w:color w:val="000000"/>
                <w:sz w:val="22"/>
                <w:szCs w:val="22"/>
                <w:rtl/>
              </w:rPr>
              <w:footnoteReference w:id="20"/>
            </w:r>
            <w:r w:rsidRPr="000A4255">
              <w:rPr>
                <w:rFonts w:ascii="Alef" w:eastAsia="Times New Roman" w:hAnsi="Alef" w:cs="Alef"/>
                <w:color w:val="000000"/>
                <w:sz w:val="22"/>
                <w:szCs w:val="22"/>
                <w:rtl/>
              </w:rPr>
              <w:br/>
              <w:t>תמר פטרוליום (16.75%)</w:t>
            </w:r>
            <w:r w:rsidRPr="000A4255">
              <w:rPr>
                <w:rFonts w:ascii="Alef" w:eastAsia="Times New Roman" w:hAnsi="Alef" w:cs="Alef"/>
                <w:color w:val="000000"/>
                <w:sz w:val="22"/>
                <w:szCs w:val="22"/>
                <w:rtl/>
              </w:rPr>
              <w:br/>
              <w:t>דור גז בע"מ (4%)</w:t>
            </w:r>
            <w:r w:rsidRPr="000A4255">
              <w:rPr>
                <w:rFonts w:ascii="Alef" w:eastAsia="Times New Roman" w:hAnsi="Alef" w:cs="Alef"/>
                <w:color w:val="000000"/>
                <w:sz w:val="22"/>
                <w:szCs w:val="22"/>
                <w:rtl/>
              </w:rPr>
              <w:br/>
              <w:t>אוורסט (3%)</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14:paraId="50AEA6E2" w14:textId="77777777" w:rsidR="00380C33" w:rsidRPr="000A4255" w:rsidRDefault="00380C33" w:rsidP="000A4255">
            <w:pPr>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Pr>
              <w:t xml:space="preserve">318 </w:t>
            </w:r>
            <w:r w:rsidRPr="000A4255">
              <w:rPr>
                <w:rFonts w:ascii="Alef" w:eastAsia="Times New Roman" w:hAnsi="Alef" w:cs="Alef"/>
                <w:color w:val="000000"/>
                <w:sz w:val="16"/>
                <w:szCs w:val="16"/>
                <w:rtl/>
              </w:rPr>
              <w:t>(מתוכם כ-60 הופקו)</w:t>
            </w:r>
          </w:p>
        </w:tc>
        <w:tc>
          <w:tcPr>
            <w:tcW w:w="589" w:type="pct"/>
            <w:tcBorders>
              <w:top w:val="nil"/>
              <w:left w:val="single" w:sz="4" w:space="0" w:color="auto"/>
              <w:bottom w:val="single" w:sz="4" w:space="0" w:color="auto"/>
              <w:right w:val="single" w:sz="4" w:space="0" w:color="auto"/>
            </w:tcBorders>
            <w:shd w:val="clear" w:color="auto" w:fill="auto"/>
            <w:noWrap/>
            <w:vAlign w:val="center"/>
            <w:hideMark/>
          </w:tcPr>
          <w:p w14:paraId="57450C75"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Pr>
              <w:t>2013</w:t>
            </w:r>
          </w:p>
        </w:tc>
        <w:tc>
          <w:tcPr>
            <w:tcW w:w="754" w:type="pct"/>
            <w:tcBorders>
              <w:top w:val="nil"/>
              <w:left w:val="single" w:sz="4" w:space="0" w:color="auto"/>
              <w:bottom w:val="single" w:sz="4" w:space="0" w:color="auto"/>
              <w:right w:val="single" w:sz="4" w:space="0" w:color="auto"/>
            </w:tcBorders>
            <w:shd w:val="clear" w:color="auto" w:fill="auto"/>
            <w:noWrap/>
            <w:vAlign w:val="center"/>
            <w:hideMark/>
          </w:tcPr>
          <w:p w14:paraId="0EFBD4F9"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tl/>
              </w:rPr>
              <w:t xml:space="preserve">כ-212 </w:t>
            </w:r>
            <w:r w:rsidRPr="000A4255">
              <w:rPr>
                <w:rFonts w:ascii="Alef" w:eastAsia="Times New Roman" w:hAnsi="Alef" w:cs="Alef"/>
                <w:color w:val="000000"/>
                <w:sz w:val="22"/>
                <w:szCs w:val="22"/>
              </w:rPr>
              <w:t xml:space="preserve"> </w:t>
            </w:r>
          </w:p>
        </w:tc>
        <w:tc>
          <w:tcPr>
            <w:tcW w:w="753" w:type="pct"/>
            <w:tcBorders>
              <w:top w:val="nil"/>
              <w:left w:val="single" w:sz="4" w:space="0" w:color="auto"/>
              <w:bottom w:val="single" w:sz="4" w:space="0" w:color="auto"/>
              <w:right w:val="single" w:sz="4" w:space="0" w:color="auto"/>
            </w:tcBorders>
            <w:vAlign w:val="center"/>
          </w:tcPr>
          <w:p w14:paraId="6E262095" w14:textId="77777777" w:rsidR="00380C33" w:rsidRPr="000A4255" w:rsidRDefault="00380C33" w:rsidP="000A4255">
            <w:pPr>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167</w:t>
            </w:r>
          </w:p>
        </w:tc>
      </w:tr>
      <w:tr w:rsidR="00380C33" w:rsidRPr="000A4255" w14:paraId="48367D5F" w14:textId="77777777" w:rsidTr="006E3C3D">
        <w:trPr>
          <w:trHeight w:val="828"/>
        </w:trPr>
        <w:tc>
          <w:tcPr>
            <w:tcW w:w="839" w:type="pct"/>
            <w:tcBorders>
              <w:top w:val="nil"/>
              <w:left w:val="single" w:sz="4" w:space="0" w:color="auto"/>
              <w:bottom w:val="single" w:sz="4" w:space="0" w:color="auto"/>
              <w:right w:val="single" w:sz="4" w:space="0" w:color="auto"/>
            </w:tcBorders>
            <w:shd w:val="clear" w:color="auto" w:fill="auto"/>
            <w:noWrap/>
            <w:vAlign w:val="center"/>
            <w:hideMark/>
          </w:tcPr>
          <w:p w14:paraId="345B50A1" w14:textId="77777777" w:rsidR="00380C33" w:rsidRPr="000A4255" w:rsidRDefault="00380C33" w:rsidP="000A4255">
            <w:pPr>
              <w:bidi/>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לווייתן (</w:t>
            </w:r>
            <w:r w:rsidRPr="000A4255">
              <w:rPr>
                <w:rFonts w:ascii="Alef" w:eastAsia="Times New Roman" w:hAnsi="Alef" w:cs="Alef"/>
                <w:color w:val="000000"/>
                <w:sz w:val="22"/>
                <w:szCs w:val="22"/>
              </w:rPr>
              <w:t>I/14+I/15</w:t>
            </w:r>
            <w:r w:rsidRPr="000A4255">
              <w:rPr>
                <w:rFonts w:ascii="Alef" w:eastAsia="Times New Roman" w:hAnsi="Alef" w:cs="Alef"/>
                <w:color w:val="000000"/>
                <w:sz w:val="22"/>
                <w:szCs w:val="22"/>
                <w:rtl/>
              </w:rPr>
              <w:t>)</w:t>
            </w:r>
          </w:p>
        </w:tc>
        <w:tc>
          <w:tcPr>
            <w:tcW w:w="1415" w:type="pct"/>
            <w:tcBorders>
              <w:top w:val="nil"/>
              <w:left w:val="single" w:sz="4" w:space="0" w:color="auto"/>
              <w:bottom w:val="single" w:sz="4" w:space="0" w:color="auto"/>
              <w:right w:val="single" w:sz="4" w:space="0" w:color="auto"/>
            </w:tcBorders>
            <w:shd w:val="clear" w:color="auto" w:fill="auto"/>
            <w:vAlign w:val="center"/>
            <w:hideMark/>
          </w:tcPr>
          <w:p w14:paraId="2E310DDA" w14:textId="67E86BE8"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tl/>
              </w:rPr>
              <w:t>דלק</w:t>
            </w:r>
            <w:r w:rsidR="003357F8" w:rsidRPr="000A4255">
              <w:rPr>
                <w:rFonts w:ascii="Alef" w:eastAsia="Times New Roman" w:hAnsi="Alef" w:cs="Alef"/>
                <w:color w:val="000000"/>
                <w:sz w:val="22"/>
                <w:szCs w:val="22"/>
                <w:rtl/>
              </w:rPr>
              <w:t xml:space="preserve"> קידוחים</w:t>
            </w:r>
            <w:r w:rsidRPr="000A4255">
              <w:rPr>
                <w:rFonts w:ascii="Alef" w:eastAsia="Times New Roman" w:hAnsi="Alef" w:cs="Alef"/>
                <w:color w:val="000000"/>
                <w:sz w:val="22"/>
                <w:szCs w:val="22"/>
                <w:rtl/>
              </w:rPr>
              <w:t xml:space="preserve"> (45.4%)</w:t>
            </w:r>
            <w:r w:rsidRPr="000A4255">
              <w:rPr>
                <w:rFonts w:ascii="Alef" w:eastAsia="Times New Roman" w:hAnsi="Alef" w:cs="Alef"/>
                <w:color w:val="000000"/>
                <w:sz w:val="22"/>
                <w:szCs w:val="22"/>
                <w:rtl/>
              </w:rPr>
              <w:br/>
              <w:t xml:space="preserve"> </w:t>
            </w:r>
            <w:r w:rsidRPr="000A4255">
              <w:rPr>
                <w:rFonts w:ascii="Alef" w:eastAsia="Times New Roman" w:hAnsi="Alef" w:cs="Alef"/>
                <w:color w:val="000000"/>
                <w:sz w:val="22"/>
                <w:szCs w:val="22"/>
              </w:rPr>
              <w:t xml:space="preserve">Noble Energy </w:t>
            </w:r>
            <w:r w:rsidRPr="000A4255">
              <w:rPr>
                <w:rFonts w:ascii="Alef" w:eastAsia="Times New Roman" w:hAnsi="Alef" w:cs="Alef"/>
                <w:color w:val="000000"/>
                <w:sz w:val="22"/>
                <w:szCs w:val="22"/>
                <w:rtl/>
              </w:rPr>
              <w:t xml:space="preserve"> (39.6%)</w:t>
            </w:r>
            <w:r w:rsidRPr="000A4255">
              <w:rPr>
                <w:rFonts w:ascii="Alef" w:eastAsia="Times New Roman" w:hAnsi="Alef" w:cs="Alef"/>
                <w:color w:val="000000"/>
                <w:sz w:val="22"/>
                <w:szCs w:val="22"/>
                <w:rtl/>
              </w:rPr>
              <w:br/>
              <w:t>רציו (15%)</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14:paraId="2AED241C"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Pr>
              <w:t>605</w:t>
            </w:r>
          </w:p>
        </w:tc>
        <w:tc>
          <w:tcPr>
            <w:tcW w:w="589" w:type="pct"/>
            <w:tcBorders>
              <w:top w:val="nil"/>
              <w:left w:val="single" w:sz="4" w:space="0" w:color="auto"/>
              <w:bottom w:val="single" w:sz="4" w:space="0" w:color="auto"/>
              <w:right w:val="single" w:sz="4" w:space="0" w:color="auto"/>
            </w:tcBorders>
            <w:shd w:val="clear" w:color="auto" w:fill="auto"/>
            <w:noWrap/>
            <w:vAlign w:val="center"/>
            <w:hideMark/>
          </w:tcPr>
          <w:p w14:paraId="668F1DB0"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Pr>
              <w:t>2019</w:t>
            </w:r>
          </w:p>
        </w:tc>
        <w:tc>
          <w:tcPr>
            <w:tcW w:w="754" w:type="pct"/>
            <w:tcBorders>
              <w:top w:val="nil"/>
              <w:left w:val="single" w:sz="4" w:space="0" w:color="auto"/>
              <w:bottom w:val="single" w:sz="4" w:space="0" w:color="auto"/>
              <w:right w:val="single" w:sz="4" w:space="0" w:color="auto"/>
            </w:tcBorders>
            <w:shd w:val="clear" w:color="auto" w:fill="auto"/>
            <w:noWrap/>
            <w:vAlign w:val="center"/>
            <w:hideMark/>
          </w:tcPr>
          <w:p w14:paraId="1B72C8C6"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tl/>
              </w:rPr>
              <w:t>כ-109</w:t>
            </w:r>
          </w:p>
        </w:tc>
        <w:tc>
          <w:tcPr>
            <w:tcW w:w="753" w:type="pct"/>
            <w:tcBorders>
              <w:top w:val="nil"/>
              <w:left w:val="single" w:sz="4" w:space="0" w:color="auto"/>
              <w:bottom w:val="single" w:sz="4" w:space="0" w:color="auto"/>
              <w:right w:val="single" w:sz="4" w:space="0" w:color="auto"/>
            </w:tcBorders>
            <w:vAlign w:val="center"/>
          </w:tcPr>
          <w:p w14:paraId="1D8D139F" w14:textId="77777777" w:rsidR="00380C33" w:rsidRPr="000A4255" w:rsidRDefault="00380C33" w:rsidP="000A4255">
            <w:pPr>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32</w:t>
            </w:r>
          </w:p>
        </w:tc>
      </w:tr>
      <w:tr w:rsidR="00380C33" w:rsidRPr="000A4255" w14:paraId="36EB553F" w14:textId="77777777" w:rsidTr="006E3C3D">
        <w:trPr>
          <w:trHeight w:val="276"/>
        </w:trPr>
        <w:tc>
          <w:tcPr>
            <w:tcW w:w="839" w:type="pct"/>
            <w:tcBorders>
              <w:top w:val="nil"/>
              <w:left w:val="single" w:sz="4" w:space="0" w:color="auto"/>
              <w:bottom w:val="single" w:sz="4" w:space="0" w:color="auto"/>
              <w:right w:val="single" w:sz="4" w:space="0" w:color="auto"/>
            </w:tcBorders>
            <w:shd w:val="clear" w:color="auto" w:fill="auto"/>
            <w:noWrap/>
            <w:vAlign w:val="center"/>
            <w:hideMark/>
          </w:tcPr>
          <w:p w14:paraId="6D7491B5" w14:textId="77777777" w:rsidR="00380C33" w:rsidRPr="000A4255" w:rsidRDefault="00380C33" w:rsidP="000A4255">
            <w:pPr>
              <w:bidi/>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תנין (</w:t>
            </w:r>
            <w:r w:rsidRPr="000A4255">
              <w:rPr>
                <w:rFonts w:ascii="Alef" w:eastAsia="Times New Roman" w:hAnsi="Alef" w:cs="Alef"/>
                <w:color w:val="000000"/>
                <w:sz w:val="22"/>
                <w:szCs w:val="22"/>
              </w:rPr>
              <w:t>I/16</w:t>
            </w:r>
            <w:r w:rsidRPr="000A4255">
              <w:rPr>
                <w:rFonts w:ascii="Alef" w:eastAsia="Times New Roman" w:hAnsi="Alef" w:cs="Alef"/>
                <w:color w:val="000000"/>
                <w:sz w:val="22"/>
                <w:szCs w:val="22"/>
                <w:rtl/>
              </w:rPr>
              <w:t>) + כריש (</w:t>
            </w:r>
            <w:r w:rsidRPr="000A4255">
              <w:rPr>
                <w:rFonts w:ascii="Alef" w:eastAsia="Times New Roman" w:hAnsi="Alef" w:cs="Alef"/>
                <w:color w:val="000000"/>
                <w:sz w:val="22"/>
                <w:szCs w:val="22"/>
              </w:rPr>
              <w:t>I/17</w:t>
            </w:r>
            <w:r w:rsidRPr="000A4255">
              <w:rPr>
                <w:rFonts w:ascii="Alef" w:eastAsia="Times New Roman" w:hAnsi="Alef" w:cs="Alef"/>
                <w:color w:val="000000"/>
                <w:sz w:val="22"/>
                <w:szCs w:val="22"/>
                <w:rtl/>
              </w:rPr>
              <w:t>)</w:t>
            </w:r>
          </w:p>
        </w:tc>
        <w:tc>
          <w:tcPr>
            <w:tcW w:w="1415" w:type="pct"/>
            <w:tcBorders>
              <w:top w:val="nil"/>
              <w:left w:val="single" w:sz="4" w:space="0" w:color="auto"/>
              <w:bottom w:val="single" w:sz="4" w:space="0" w:color="auto"/>
              <w:right w:val="single" w:sz="4" w:space="0" w:color="auto"/>
            </w:tcBorders>
            <w:shd w:val="clear" w:color="auto" w:fill="auto"/>
            <w:noWrap/>
            <w:vAlign w:val="center"/>
            <w:hideMark/>
          </w:tcPr>
          <w:p w14:paraId="2C06B1AF"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Style w:val="FootnoteReference"/>
                <w:rFonts w:ascii="Alef" w:eastAsia="Times New Roman" w:hAnsi="Alef" w:cs="Alef"/>
                <w:color w:val="000000"/>
                <w:sz w:val="22"/>
                <w:szCs w:val="22"/>
              </w:rPr>
              <w:footnoteReference w:id="21"/>
            </w:r>
            <w:r w:rsidRPr="000A4255">
              <w:rPr>
                <w:rFonts w:ascii="Alef" w:eastAsia="Times New Roman" w:hAnsi="Alef" w:cs="Alef"/>
                <w:color w:val="000000"/>
                <w:sz w:val="22"/>
                <w:szCs w:val="22"/>
              </w:rPr>
              <w:t xml:space="preserve"> (100%) Energean Israel </w:t>
            </w:r>
          </w:p>
        </w:tc>
        <w:tc>
          <w:tcPr>
            <w:tcW w:w="650" w:type="pct"/>
            <w:tcBorders>
              <w:top w:val="nil"/>
              <w:left w:val="single" w:sz="4" w:space="0" w:color="auto"/>
              <w:bottom w:val="single" w:sz="4" w:space="0" w:color="auto"/>
              <w:right w:val="single" w:sz="4" w:space="0" w:color="auto"/>
            </w:tcBorders>
            <w:shd w:val="clear" w:color="auto" w:fill="auto"/>
            <w:noWrap/>
            <w:vAlign w:val="center"/>
            <w:hideMark/>
          </w:tcPr>
          <w:p w14:paraId="17DB53D4"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Style w:val="FootnoteReference"/>
                <w:rFonts w:ascii="Alef" w:eastAsia="Times New Roman" w:hAnsi="Alef" w:cs="Alef"/>
                <w:color w:val="000000"/>
                <w:sz w:val="22"/>
                <w:szCs w:val="22"/>
              </w:rPr>
              <w:footnoteReference w:id="22"/>
            </w:r>
            <w:r w:rsidRPr="000A4255">
              <w:rPr>
                <w:rFonts w:ascii="Alef" w:eastAsia="Times New Roman" w:hAnsi="Alef" w:cs="Alef"/>
                <w:color w:val="000000"/>
                <w:sz w:val="22"/>
                <w:szCs w:val="22"/>
              </w:rPr>
              <w:t xml:space="preserve"> 100</w:t>
            </w:r>
          </w:p>
        </w:tc>
        <w:tc>
          <w:tcPr>
            <w:tcW w:w="589" w:type="pct"/>
            <w:tcBorders>
              <w:top w:val="nil"/>
              <w:left w:val="single" w:sz="4" w:space="0" w:color="auto"/>
              <w:bottom w:val="single" w:sz="4" w:space="0" w:color="auto"/>
              <w:right w:val="single" w:sz="4" w:space="0" w:color="auto"/>
            </w:tcBorders>
            <w:shd w:val="clear" w:color="auto" w:fill="auto"/>
            <w:noWrap/>
            <w:vAlign w:val="center"/>
            <w:hideMark/>
          </w:tcPr>
          <w:p w14:paraId="542BA9E8" w14:textId="77777777"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Pr>
              <w:t>2021</w:t>
            </w:r>
          </w:p>
        </w:tc>
        <w:tc>
          <w:tcPr>
            <w:tcW w:w="754" w:type="pct"/>
            <w:tcBorders>
              <w:top w:val="nil"/>
              <w:left w:val="single" w:sz="4" w:space="0" w:color="auto"/>
              <w:bottom w:val="single" w:sz="4" w:space="0" w:color="auto"/>
              <w:right w:val="single" w:sz="4" w:space="0" w:color="auto"/>
            </w:tcBorders>
            <w:shd w:val="clear" w:color="auto" w:fill="auto"/>
            <w:noWrap/>
            <w:vAlign w:val="center"/>
            <w:hideMark/>
          </w:tcPr>
          <w:p w14:paraId="2A220478" w14:textId="0AC29C86" w:rsidR="00380C33" w:rsidRPr="000A4255" w:rsidRDefault="00380C33" w:rsidP="000A4255">
            <w:pPr>
              <w:spacing w:line="276" w:lineRule="auto"/>
              <w:jc w:val="center"/>
              <w:rPr>
                <w:rFonts w:ascii="Alef" w:eastAsia="Times New Roman" w:hAnsi="Alef" w:cs="Alef"/>
                <w:color w:val="000000"/>
                <w:sz w:val="22"/>
                <w:szCs w:val="22"/>
              </w:rPr>
            </w:pPr>
            <w:r w:rsidRPr="000A4255">
              <w:rPr>
                <w:rFonts w:ascii="Alef" w:eastAsia="Times New Roman" w:hAnsi="Alef" w:cs="Alef"/>
                <w:color w:val="000000"/>
                <w:sz w:val="22"/>
                <w:szCs w:val="22"/>
                <w:rtl/>
              </w:rPr>
              <w:t>כ-</w:t>
            </w:r>
            <w:r w:rsidR="004857F2" w:rsidRPr="000A4255">
              <w:rPr>
                <w:rFonts w:ascii="Alef" w:eastAsia="Times New Roman" w:hAnsi="Alef" w:cs="Alef"/>
                <w:color w:val="000000"/>
                <w:sz w:val="22"/>
                <w:szCs w:val="22"/>
                <w:rtl/>
              </w:rPr>
              <w:t>80</w:t>
            </w:r>
          </w:p>
        </w:tc>
        <w:tc>
          <w:tcPr>
            <w:tcW w:w="753" w:type="pct"/>
            <w:tcBorders>
              <w:top w:val="nil"/>
              <w:left w:val="single" w:sz="4" w:space="0" w:color="auto"/>
              <w:bottom w:val="single" w:sz="4" w:space="0" w:color="auto"/>
              <w:right w:val="single" w:sz="4" w:space="0" w:color="auto"/>
            </w:tcBorders>
            <w:vAlign w:val="center"/>
          </w:tcPr>
          <w:p w14:paraId="76124B9A" w14:textId="062DFFB0" w:rsidR="00380C33" w:rsidRPr="000A4255" w:rsidRDefault="00380C33" w:rsidP="000A4255">
            <w:pPr>
              <w:spacing w:line="276" w:lineRule="auto"/>
              <w:jc w:val="center"/>
              <w:rPr>
                <w:rFonts w:ascii="Alef" w:eastAsia="Times New Roman" w:hAnsi="Alef" w:cs="Alef"/>
                <w:color w:val="000000"/>
                <w:sz w:val="22"/>
                <w:szCs w:val="22"/>
                <w:rtl/>
              </w:rPr>
            </w:pPr>
            <w:r w:rsidRPr="000A4255">
              <w:rPr>
                <w:rFonts w:ascii="Alef" w:eastAsia="Times New Roman" w:hAnsi="Alef" w:cs="Alef"/>
                <w:color w:val="000000"/>
                <w:sz w:val="22"/>
                <w:szCs w:val="22"/>
                <w:rtl/>
              </w:rPr>
              <w:t>כ-</w:t>
            </w:r>
            <w:r w:rsidR="004857F2" w:rsidRPr="000A4255">
              <w:rPr>
                <w:rFonts w:ascii="Alef" w:eastAsia="Times New Roman" w:hAnsi="Alef" w:cs="Alef"/>
                <w:color w:val="000000"/>
                <w:sz w:val="22"/>
                <w:szCs w:val="22"/>
                <w:rtl/>
              </w:rPr>
              <w:t>80</w:t>
            </w:r>
          </w:p>
        </w:tc>
      </w:tr>
    </w:tbl>
    <w:p w14:paraId="7D3226ED" w14:textId="481F46F9" w:rsidR="00380C33" w:rsidRPr="000A4255" w:rsidRDefault="00CD30D7"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 xml:space="preserve">מאגר לווייתן מוחזק על ידי דלק קידוחים ורציו, והוא הראשון בגודלו מבין המאגרים. עד היום נמכרה ממנו כמות של כ-109 </w:t>
      </w:r>
      <w:r w:rsidRPr="000A4255">
        <w:rPr>
          <w:rFonts w:ascii="Alef" w:hAnsi="Alef" w:cs="Alef"/>
          <w:sz w:val="22"/>
          <w:szCs w:val="22"/>
        </w:rPr>
        <w:t>BCM</w:t>
      </w:r>
      <w:r w:rsidRPr="000A4255">
        <w:rPr>
          <w:rFonts w:ascii="Alef" w:hAnsi="Alef" w:cs="Alef"/>
          <w:sz w:val="22"/>
          <w:szCs w:val="22"/>
          <w:rtl/>
        </w:rPr>
        <w:t xml:space="preserve">, ונותרו בו </w:t>
      </w:r>
      <w:r w:rsidR="00457871" w:rsidRPr="000A4255">
        <w:rPr>
          <w:rFonts w:ascii="Alef" w:hAnsi="Alef" w:cs="Alef"/>
          <w:sz w:val="22"/>
          <w:szCs w:val="22"/>
          <w:rtl/>
        </w:rPr>
        <w:t xml:space="preserve">כ-496 </w:t>
      </w:r>
      <w:r w:rsidR="00457871" w:rsidRPr="000A4255">
        <w:rPr>
          <w:rFonts w:ascii="Alef" w:hAnsi="Alef" w:cs="Alef"/>
          <w:sz w:val="22"/>
          <w:szCs w:val="22"/>
        </w:rPr>
        <w:t>BCM</w:t>
      </w:r>
      <w:r w:rsidR="00457871" w:rsidRPr="000A4255">
        <w:rPr>
          <w:rFonts w:ascii="Alef" w:hAnsi="Alef" w:cs="Alef"/>
          <w:sz w:val="22"/>
          <w:szCs w:val="22"/>
          <w:rtl/>
        </w:rPr>
        <w:t xml:space="preserve"> פנויים למכירה. כיום מחזיקה דלק קידוחים גם במאגר תמר ובהתאם למתווה הגז היא עתידה להיפרד מאחזקותיה בו. עד היום נמכרה ממאגר תמר כמות של כ-212 </w:t>
      </w:r>
      <w:r w:rsidR="00457871" w:rsidRPr="000A4255">
        <w:rPr>
          <w:rFonts w:ascii="Alef" w:hAnsi="Alef" w:cs="Alef"/>
          <w:sz w:val="22"/>
          <w:szCs w:val="22"/>
        </w:rPr>
        <w:t>BCM</w:t>
      </w:r>
      <w:r w:rsidR="00457871" w:rsidRPr="000A4255">
        <w:rPr>
          <w:rFonts w:ascii="Alef" w:hAnsi="Alef" w:cs="Alef"/>
          <w:sz w:val="22"/>
          <w:szCs w:val="22"/>
          <w:rtl/>
        </w:rPr>
        <w:t xml:space="preserve">, ונותרו בו כ-106 </w:t>
      </w:r>
      <w:r w:rsidR="00765951" w:rsidRPr="000A4255">
        <w:rPr>
          <w:rFonts w:ascii="Alef" w:hAnsi="Alef" w:cs="Alef"/>
          <w:sz w:val="22"/>
          <w:szCs w:val="22"/>
        </w:rPr>
        <w:t>BCM</w:t>
      </w:r>
      <w:r w:rsidR="00765951" w:rsidRPr="000A4255">
        <w:rPr>
          <w:rFonts w:ascii="Alef" w:hAnsi="Alef" w:cs="Alef"/>
          <w:sz w:val="22"/>
          <w:szCs w:val="22"/>
          <w:rtl/>
        </w:rPr>
        <w:t xml:space="preserve"> פנויים למכירה. לבסוף</w:t>
      </w:r>
      <w:r w:rsidR="00F53B38" w:rsidRPr="000A4255">
        <w:rPr>
          <w:rFonts w:ascii="Alef" w:hAnsi="Alef" w:cs="Alef"/>
          <w:sz w:val="22"/>
          <w:szCs w:val="22"/>
          <w:rtl/>
        </w:rPr>
        <w:t>,</w:t>
      </w:r>
      <w:r w:rsidR="00765951" w:rsidRPr="000A4255">
        <w:rPr>
          <w:rFonts w:ascii="Alef" w:hAnsi="Alef" w:cs="Alef"/>
          <w:sz w:val="22"/>
          <w:szCs w:val="22"/>
          <w:rtl/>
        </w:rPr>
        <w:t xml:space="preserve"> </w:t>
      </w:r>
      <w:r w:rsidR="00380C33" w:rsidRPr="000A4255">
        <w:rPr>
          <w:rFonts w:ascii="Alef" w:hAnsi="Alef" w:cs="Alef"/>
          <w:sz w:val="22"/>
          <w:szCs w:val="22"/>
          <w:rtl/>
        </w:rPr>
        <w:t xml:space="preserve">מרבית </w:t>
      </w:r>
      <w:r w:rsidR="00380411" w:rsidRPr="000A4255">
        <w:rPr>
          <w:rFonts w:ascii="Alef" w:hAnsi="Alef" w:cs="Alef"/>
          <w:sz w:val="22"/>
          <w:szCs w:val="22"/>
          <w:rtl/>
        </w:rPr>
        <w:t>הכמות</w:t>
      </w:r>
      <w:r w:rsidR="00380C33" w:rsidRPr="000A4255">
        <w:rPr>
          <w:rFonts w:ascii="Alef" w:hAnsi="Alef" w:cs="Alef"/>
          <w:sz w:val="22"/>
          <w:szCs w:val="22"/>
          <w:rtl/>
        </w:rPr>
        <w:t xml:space="preserve"> במאגרי כריש ותנין </w:t>
      </w:r>
      <w:r w:rsidR="00B03919" w:rsidRPr="000A4255">
        <w:rPr>
          <w:rFonts w:ascii="Alef" w:hAnsi="Alef" w:cs="Alef"/>
          <w:sz w:val="22"/>
          <w:szCs w:val="22"/>
          <w:rtl/>
        </w:rPr>
        <w:t xml:space="preserve">נמכרה </w:t>
      </w:r>
      <w:r w:rsidR="00765951" w:rsidRPr="000A4255">
        <w:rPr>
          <w:rFonts w:ascii="Alef" w:hAnsi="Alef" w:cs="Alef"/>
          <w:sz w:val="22"/>
          <w:szCs w:val="22"/>
          <w:rtl/>
        </w:rPr>
        <w:t>ונותרו בהם רק כ-</w:t>
      </w:r>
      <w:r w:rsidR="004857F2" w:rsidRPr="000A4255">
        <w:rPr>
          <w:rFonts w:ascii="Alef" w:hAnsi="Alef" w:cs="Alef"/>
          <w:sz w:val="22"/>
          <w:szCs w:val="22"/>
          <w:rtl/>
        </w:rPr>
        <w:t>20</w:t>
      </w:r>
      <w:r w:rsidR="00765951" w:rsidRPr="000A4255">
        <w:rPr>
          <w:rFonts w:ascii="Alef" w:hAnsi="Alef" w:cs="Alef"/>
          <w:sz w:val="22"/>
          <w:szCs w:val="22"/>
          <w:rtl/>
        </w:rPr>
        <w:t xml:space="preserve"> </w:t>
      </w:r>
      <w:r w:rsidR="00765951" w:rsidRPr="000A4255">
        <w:rPr>
          <w:rFonts w:ascii="Alef" w:hAnsi="Alef" w:cs="Alef"/>
          <w:sz w:val="22"/>
          <w:szCs w:val="22"/>
        </w:rPr>
        <w:t>BCM</w:t>
      </w:r>
      <w:r w:rsidR="00F4112D" w:rsidRPr="000A4255">
        <w:rPr>
          <w:rFonts w:ascii="Alef" w:hAnsi="Alef" w:cs="Alef"/>
          <w:sz w:val="22"/>
          <w:szCs w:val="22"/>
          <w:rtl/>
        </w:rPr>
        <w:t xml:space="preserve">. </w:t>
      </w:r>
    </w:p>
    <w:p w14:paraId="080C5886" w14:textId="77777777"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 xml:space="preserve">דו"ח ועדת אדירי מצא כי שוק הגז הטבעי בישראל מאופיין בעודף היצע. מלוח מספר 1 ניתן ללמוד כי היצע הגז הטבעי משלושת מאגרי הגז עומד על כ-1,000 </w:t>
      </w:r>
      <w:r w:rsidRPr="000A4255">
        <w:rPr>
          <w:rFonts w:ascii="Alef" w:hAnsi="Alef" w:cs="Alef"/>
          <w:sz w:val="22"/>
          <w:szCs w:val="22"/>
        </w:rPr>
        <w:t>BCM</w:t>
      </w:r>
      <w:r w:rsidRPr="000A4255">
        <w:rPr>
          <w:rFonts w:ascii="Alef" w:hAnsi="Alef" w:cs="Alef"/>
          <w:sz w:val="22"/>
          <w:szCs w:val="22"/>
          <w:rtl/>
        </w:rPr>
        <w:t xml:space="preserve">, וזאת ללא התחשבות בפיתוחם של מאגרי גז נוספים, היה ויימצאו. אשר לביקוש לגז טבעי, דו"ח ועדת אדירי אמד את סך הביקוש המקומי לגז טבעי עד שנת 2040. האומדן הצביע על 450 </w:t>
      </w:r>
      <w:r w:rsidRPr="000A4255">
        <w:rPr>
          <w:rFonts w:ascii="Alef" w:hAnsi="Alef" w:cs="Alef"/>
          <w:sz w:val="22"/>
          <w:szCs w:val="22"/>
        </w:rPr>
        <w:t>BCM</w:t>
      </w:r>
      <w:r w:rsidRPr="000A4255">
        <w:rPr>
          <w:rFonts w:ascii="Alef" w:hAnsi="Alef" w:cs="Alef"/>
          <w:sz w:val="22"/>
          <w:szCs w:val="22"/>
          <w:rtl/>
        </w:rPr>
        <w:t xml:space="preserve">, תוך שהוא מתחשב בגידול בייצור החשמל לאורך השנים, בחדירת הרכב החשמלי לשוק, בסגירת יחידות הייצור הפחמיות של חברת </w:t>
      </w:r>
      <w:r w:rsidRPr="000A4255">
        <w:rPr>
          <w:rFonts w:ascii="Alef" w:hAnsi="Alef" w:cs="Alef"/>
          <w:sz w:val="22"/>
          <w:szCs w:val="22"/>
          <w:rtl/>
        </w:rPr>
        <w:lastRenderedPageBreak/>
        <w:t>החשמל, בגידול במקורות האנרגיה המתחדשת ובמשתנים נוספים. הדו"ח גם מלמד, שבאמצע העשור 2040-2030 צפוי מחסור באספקת הביקוש ברמה השעתית, במידה שלא יחוברו מאגרים נוספים או שלא תוגדל קיבולת ההולכה במאגרים שהתגלו.</w:t>
      </w:r>
    </w:p>
    <w:p w14:paraId="5CACBB0F" w14:textId="59ECBB5A" w:rsidR="00380C33" w:rsidRPr="000A4255" w:rsidRDefault="00380C33" w:rsidP="000A4255">
      <w:pPr>
        <w:bidi/>
        <w:spacing w:after="240" w:line="276" w:lineRule="auto"/>
        <w:jc w:val="both"/>
        <w:rPr>
          <w:rFonts w:ascii="Alef" w:hAnsi="Alef" w:cs="Alef"/>
          <w:sz w:val="22"/>
          <w:szCs w:val="22"/>
          <w:rtl/>
        </w:rPr>
      </w:pPr>
      <w:r w:rsidRPr="000A4255">
        <w:rPr>
          <w:rFonts w:ascii="Alef" w:hAnsi="Alef" w:cs="Alef"/>
          <w:sz w:val="22"/>
          <w:szCs w:val="22"/>
          <w:rtl/>
        </w:rPr>
        <w:t xml:space="preserve">לאור עודף ההיצע בשוק המקומי מחד גיסא, ומצוקת המחסור ברמה השעתית מאידך גיסא, אימצה הממשלה את המלצות הוועדה להגדיל את הכדאיות הכלכלית בפיתוח מאגרי גז באמצעות מתן הקלות בייצוא, תוך וידוא חיבורם של מאגרים אלו למשק הישראלי בשלב שבו יתעורר מחסור ברמה השעתית. בפרט, המליצה הוועדה להבטיח אספקה מקומית של 500 </w:t>
      </w:r>
      <w:r w:rsidRPr="000A4255">
        <w:rPr>
          <w:rFonts w:ascii="Alef" w:hAnsi="Alef" w:cs="Alef"/>
          <w:sz w:val="22"/>
          <w:szCs w:val="22"/>
        </w:rPr>
        <w:t>BCM</w:t>
      </w:r>
      <w:r w:rsidRPr="000A4255">
        <w:rPr>
          <w:rFonts w:ascii="Alef" w:hAnsi="Alef" w:cs="Alef"/>
          <w:sz w:val="22"/>
          <w:szCs w:val="22"/>
          <w:rtl/>
        </w:rPr>
        <w:t xml:space="preserve">, ולאפשר לייצא את יתר </w:t>
      </w:r>
      <w:r w:rsidR="00380411" w:rsidRPr="000A4255">
        <w:rPr>
          <w:rFonts w:ascii="Alef" w:hAnsi="Alef" w:cs="Alef"/>
          <w:sz w:val="22"/>
          <w:szCs w:val="22"/>
          <w:rtl/>
        </w:rPr>
        <w:t>הכמות</w:t>
      </w:r>
      <w:r w:rsidRPr="000A4255">
        <w:rPr>
          <w:rFonts w:ascii="Alef" w:hAnsi="Alef" w:cs="Alef"/>
          <w:sz w:val="22"/>
          <w:szCs w:val="22"/>
          <w:rtl/>
        </w:rPr>
        <w:t>; לקבוע חובת אספקה למשק הישראלי באופן ששדות קטנים כלל לא יחויבו בה;</w:t>
      </w:r>
      <w:r w:rsidR="002E40F7" w:rsidRPr="000A4255">
        <w:rPr>
          <w:rStyle w:val="FootnoteReference"/>
          <w:rFonts w:ascii="Alef" w:hAnsi="Alef" w:cs="Alef"/>
          <w:sz w:val="22"/>
          <w:szCs w:val="22"/>
          <w:rtl/>
        </w:rPr>
        <w:footnoteReference w:id="23"/>
      </w:r>
      <w:r w:rsidRPr="000A4255">
        <w:rPr>
          <w:rFonts w:ascii="Alef" w:hAnsi="Alef" w:cs="Alef"/>
          <w:sz w:val="22"/>
          <w:szCs w:val="22"/>
          <w:rtl/>
        </w:rPr>
        <w:t xml:space="preserve"> ולדחות את חובת החיבור של המאגר למשק הישראלי, כך שאם </w:t>
      </w:r>
      <w:r w:rsidR="005F671A" w:rsidRPr="000A4255">
        <w:rPr>
          <w:rFonts w:ascii="Alef" w:hAnsi="Alef" w:cs="Alef"/>
          <w:sz w:val="22"/>
          <w:szCs w:val="22"/>
          <w:rtl/>
        </w:rPr>
        <w:t xml:space="preserve">מאגר </w:t>
      </w:r>
      <w:r w:rsidRPr="000A4255">
        <w:rPr>
          <w:rFonts w:ascii="Alef" w:hAnsi="Alef" w:cs="Alef"/>
          <w:sz w:val="22"/>
          <w:szCs w:val="22"/>
          <w:rtl/>
        </w:rPr>
        <w:t xml:space="preserve">החל להפיק בשנת 2028, </w:t>
      </w:r>
      <w:r w:rsidR="005F671A" w:rsidRPr="000A4255">
        <w:rPr>
          <w:rFonts w:ascii="Alef" w:hAnsi="Alef" w:cs="Alef"/>
          <w:sz w:val="22"/>
          <w:szCs w:val="22"/>
          <w:rtl/>
        </w:rPr>
        <w:t xml:space="preserve">הוא </w:t>
      </w:r>
      <w:r w:rsidRPr="000A4255">
        <w:rPr>
          <w:rFonts w:ascii="Alef" w:hAnsi="Alef" w:cs="Alef"/>
          <w:sz w:val="22"/>
          <w:szCs w:val="22"/>
          <w:rtl/>
        </w:rPr>
        <w:t xml:space="preserve">יחויב להתחבר רק בשנת 2033. המלצות אלה כאמור אומצו בהחלטת ממשלה 4442. </w:t>
      </w:r>
    </w:p>
    <w:p w14:paraId="699118FF"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eastAsia="Times New Roman" w:hAnsi="Alef" w:cs="Alef"/>
          <w:b/>
          <w:bCs/>
          <w:kern w:val="36"/>
          <w:sz w:val="20"/>
          <w:szCs w:val="22"/>
          <w:rtl/>
        </w:rPr>
      </w:pPr>
      <w:r w:rsidRPr="000A4255">
        <w:rPr>
          <w:rFonts w:ascii="Alef" w:eastAsia="Times New Roman" w:hAnsi="Alef" w:cs="Alef"/>
          <w:b/>
          <w:bCs/>
          <w:kern w:val="36"/>
          <w:sz w:val="20"/>
          <w:szCs w:val="22"/>
          <w:rtl/>
        </w:rPr>
        <w:t>השפעת ההסדר על התחרות - פגיעה בתחרות באספקת גז למשק המקומי</w:t>
      </w:r>
    </w:p>
    <w:p w14:paraId="60EBAFCA" w14:textId="2CA9656D" w:rsidR="00EC611C"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 xml:space="preserve">הצדדים להסדר הם </w:t>
      </w:r>
      <w:r w:rsidR="00431D33" w:rsidRPr="000A4255">
        <w:rPr>
          <w:rFonts w:ascii="Alef" w:hAnsi="Alef" w:cs="Alef"/>
          <w:sz w:val="22"/>
          <w:szCs w:val="22"/>
          <w:rtl/>
        </w:rPr>
        <w:t xml:space="preserve">שניהם שחקנים </w:t>
      </w:r>
      <w:r w:rsidRPr="000A4255">
        <w:rPr>
          <w:rFonts w:ascii="Alef" w:hAnsi="Alef" w:cs="Alef"/>
          <w:sz w:val="22"/>
          <w:szCs w:val="22"/>
          <w:rtl/>
        </w:rPr>
        <w:t xml:space="preserve">בתחום חיפוש, הפקה ואספקה של גז טבעי. </w:t>
      </w:r>
      <w:r w:rsidR="00431D33" w:rsidRPr="000A4255">
        <w:rPr>
          <w:rFonts w:ascii="Alef" w:hAnsi="Alef" w:cs="Alef"/>
          <w:sz w:val="22"/>
          <w:szCs w:val="22"/>
          <w:rtl/>
        </w:rPr>
        <w:t xml:space="preserve">לפיכך </w:t>
      </w:r>
      <w:r w:rsidRPr="000A4255">
        <w:rPr>
          <w:rFonts w:ascii="Alef" w:hAnsi="Alef" w:cs="Alef"/>
          <w:sz w:val="22"/>
          <w:szCs w:val="22"/>
          <w:rtl/>
        </w:rPr>
        <w:t xml:space="preserve">הם </w:t>
      </w:r>
      <w:r w:rsidR="00181A72" w:rsidRPr="000A4255">
        <w:rPr>
          <w:rFonts w:ascii="Alef" w:hAnsi="Alef" w:cs="Alef"/>
          <w:sz w:val="22"/>
          <w:szCs w:val="22"/>
          <w:rtl/>
        </w:rPr>
        <w:t>עשויים להתחרות</w:t>
      </w:r>
      <w:r w:rsidRPr="000A4255">
        <w:rPr>
          <w:rFonts w:ascii="Alef" w:hAnsi="Alef" w:cs="Alef"/>
          <w:sz w:val="22"/>
          <w:szCs w:val="22"/>
          <w:rtl/>
        </w:rPr>
        <w:t xml:space="preserve"> במכרזים על הזכות לחפש ולהפיק גז, </w:t>
      </w:r>
      <w:r w:rsidR="00431D33" w:rsidRPr="000A4255">
        <w:rPr>
          <w:rFonts w:ascii="Alef" w:hAnsi="Alef" w:cs="Alef"/>
          <w:sz w:val="22"/>
          <w:szCs w:val="22"/>
          <w:rtl/>
        </w:rPr>
        <w:t xml:space="preserve">ולאחר מכן הם עשויים להתחרות בשיווק ומכירת הגז </w:t>
      </w:r>
      <w:r w:rsidRPr="000A4255">
        <w:rPr>
          <w:rFonts w:ascii="Alef" w:hAnsi="Alef" w:cs="Alef"/>
          <w:sz w:val="22"/>
          <w:szCs w:val="22"/>
          <w:rtl/>
        </w:rPr>
        <w:t>ללקוחותיהם בארץ ובחו"ל, כגון מפעלי תעשייה ותחנות כוח לייצור חשמל.</w:t>
      </w:r>
      <w:r w:rsidR="00EC611C" w:rsidRPr="000A4255">
        <w:rPr>
          <w:rFonts w:ascii="Alef" w:hAnsi="Alef" w:cs="Alef"/>
          <w:sz w:val="22"/>
          <w:szCs w:val="22"/>
          <w:rtl/>
        </w:rPr>
        <w:t xml:space="preserve"> </w:t>
      </w:r>
    </w:p>
    <w:p w14:paraId="60F41243" w14:textId="3D00F75E" w:rsidR="00380C33" w:rsidRPr="000A4255" w:rsidRDefault="003B1D33" w:rsidP="000A4255">
      <w:pPr>
        <w:bidi/>
        <w:spacing w:after="120" w:line="276" w:lineRule="auto"/>
        <w:jc w:val="both"/>
        <w:rPr>
          <w:rFonts w:ascii="Alef" w:hAnsi="Alef" w:cs="Alef"/>
          <w:sz w:val="22"/>
          <w:szCs w:val="22"/>
          <w:rtl/>
        </w:rPr>
      </w:pPr>
      <w:r w:rsidRPr="000A4255">
        <w:rPr>
          <w:rFonts w:ascii="Alef" w:hAnsi="Alef" w:cs="Alef"/>
          <w:sz w:val="22"/>
          <w:szCs w:val="22"/>
          <w:rtl/>
        </w:rPr>
        <w:t>ככל שיתגלה גז טבעי בכמות משמעותית ברועי והוא יהפוך להיות חזקה, הרי שמדובר במאגר שיש בו פוטנציאל להפוך להיות מאגר שמתחרה ב</w:t>
      </w:r>
      <w:r w:rsidR="003146CD" w:rsidRPr="000A4255">
        <w:rPr>
          <w:rFonts w:ascii="Alef" w:hAnsi="Alef" w:cs="Alef"/>
          <w:sz w:val="22"/>
          <w:szCs w:val="22"/>
          <w:rtl/>
        </w:rPr>
        <w:t xml:space="preserve">תחום </w:t>
      </w:r>
      <w:r w:rsidRPr="000A4255">
        <w:rPr>
          <w:rFonts w:ascii="Alef" w:hAnsi="Alef" w:cs="Alef"/>
          <w:sz w:val="22"/>
          <w:szCs w:val="22"/>
          <w:rtl/>
        </w:rPr>
        <w:t>אספקת גז טבעי לישראל</w:t>
      </w:r>
      <w:r w:rsidR="003146CD" w:rsidRPr="000A4255">
        <w:rPr>
          <w:rFonts w:ascii="Alef" w:hAnsi="Alef" w:cs="Alef"/>
          <w:sz w:val="22"/>
          <w:szCs w:val="22"/>
          <w:rtl/>
        </w:rPr>
        <w:t>, ובפרט במאגר לווייתן, כפי שיובהר בהמשך</w:t>
      </w:r>
      <w:r w:rsidRPr="000A4255">
        <w:rPr>
          <w:rFonts w:ascii="Alef" w:hAnsi="Alef" w:cs="Alef"/>
          <w:sz w:val="22"/>
          <w:szCs w:val="22"/>
          <w:rtl/>
        </w:rPr>
        <w:t xml:space="preserve">. </w:t>
      </w:r>
      <w:r w:rsidR="00380C33" w:rsidRPr="000A4255">
        <w:rPr>
          <w:rFonts w:ascii="Alef" w:hAnsi="Alef" w:cs="Alef"/>
          <w:sz w:val="22"/>
          <w:szCs w:val="22"/>
          <w:rtl/>
        </w:rPr>
        <w:t xml:space="preserve">החשש העולה </w:t>
      </w:r>
      <w:r w:rsidR="00EC611C" w:rsidRPr="000A4255">
        <w:rPr>
          <w:rFonts w:ascii="Alef" w:hAnsi="Alef" w:cs="Alef"/>
          <w:sz w:val="22"/>
          <w:szCs w:val="22"/>
          <w:rtl/>
        </w:rPr>
        <w:t xml:space="preserve">אפוא </w:t>
      </w:r>
      <w:r w:rsidR="00380C33" w:rsidRPr="000A4255">
        <w:rPr>
          <w:rFonts w:ascii="Alef" w:hAnsi="Alef" w:cs="Alef"/>
          <w:sz w:val="22"/>
          <w:szCs w:val="22"/>
          <w:rtl/>
        </w:rPr>
        <w:t xml:space="preserve">מההסדר, לאור נוכחותן של דלק קידוחים ורציו הן ברישיון רועי והן במאגר לווייתן, הוא שבעלי הזכויות ברישיון רועי ובמאגר לווייתן </w:t>
      </w:r>
      <w:r w:rsidR="009B7ACB" w:rsidRPr="000A4255">
        <w:rPr>
          <w:rFonts w:ascii="Alef" w:hAnsi="Alef" w:cs="Alef"/>
          <w:sz w:val="22"/>
          <w:szCs w:val="22"/>
          <w:rtl/>
        </w:rPr>
        <w:t>יהיו בעלי זהות אינטרסים מוחלטת</w:t>
      </w:r>
      <w:r w:rsidR="00724308" w:rsidRPr="000A4255">
        <w:rPr>
          <w:rFonts w:ascii="Alef" w:hAnsi="Alef" w:cs="Alef"/>
          <w:sz w:val="22"/>
          <w:szCs w:val="22"/>
          <w:rtl/>
        </w:rPr>
        <w:t>,</w:t>
      </w:r>
      <w:r w:rsidR="009B7ACB" w:rsidRPr="000A4255">
        <w:rPr>
          <w:rFonts w:ascii="Alef" w:hAnsi="Alef" w:cs="Alef"/>
          <w:sz w:val="22"/>
          <w:szCs w:val="22"/>
          <w:rtl/>
        </w:rPr>
        <w:t xml:space="preserve"> וזהות זאת תקטין את התמריצים של מאגרי לוויתן ורועי להתחרות זה בזה. </w:t>
      </w:r>
    </w:p>
    <w:p w14:paraId="0E6D747A" w14:textId="308DEF50" w:rsidR="00380C33"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 xml:space="preserve"> עד היום נחתמו חוזים עם לקוחות מקומיים בהיקף של כ-</w:t>
      </w:r>
      <w:r w:rsidR="00C449BA" w:rsidRPr="000A4255">
        <w:rPr>
          <w:rFonts w:ascii="Alef" w:hAnsi="Alef" w:cs="Alef"/>
          <w:sz w:val="22"/>
          <w:szCs w:val="22"/>
          <w:rtl/>
        </w:rPr>
        <w:t>300</w:t>
      </w:r>
      <w:r w:rsidRPr="000A4255">
        <w:rPr>
          <w:rFonts w:ascii="Alef" w:hAnsi="Alef" w:cs="Alef"/>
          <w:sz w:val="22"/>
          <w:szCs w:val="22"/>
          <w:rtl/>
        </w:rPr>
        <w:t xml:space="preserve"> </w:t>
      </w:r>
      <w:r w:rsidRPr="000A4255">
        <w:rPr>
          <w:rFonts w:ascii="Alef" w:hAnsi="Alef" w:cs="Alef"/>
          <w:sz w:val="22"/>
          <w:szCs w:val="22"/>
        </w:rPr>
        <w:t>BCM</w:t>
      </w:r>
      <w:r w:rsidRPr="000A4255">
        <w:rPr>
          <w:rFonts w:ascii="Alef" w:hAnsi="Alef" w:cs="Alef"/>
          <w:sz w:val="22"/>
          <w:szCs w:val="22"/>
          <w:rtl/>
        </w:rPr>
        <w:t xml:space="preserve">. ואולם, הביקוש המקומי הצפוי עד שנת 2040 הוא 450 </w:t>
      </w:r>
      <w:r w:rsidRPr="000A4255">
        <w:rPr>
          <w:rFonts w:ascii="Alef" w:hAnsi="Alef" w:cs="Alef"/>
          <w:sz w:val="22"/>
          <w:szCs w:val="22"/>
        </w:rPr>
        <w:t>BCM</w:t>
      </w:r>
      <w:r w:rsidRPr="000A4255">
        <w:rPr>
          <w:rFonts w:ascii="Alef" w:hAnsi="Alef" w:cs="Alef"/>
          <w:sz w:val="22"/>
          <w:szCs w:val="22"/>
          <w:rtl/>
        </w:rPr>
        <w:t xml:space="preserve">, ואף </w:t>
      </w:r>
      <w:r w:rsidR="00431850" w:rsidRPr="000A4255">
        <w:rPr>
          <w:rFonts w:ascii="Alef" w:hAnsi="Alef" w:cs="Alef"/>
          <w:sz w:val="22"/>
          <w:szCs w:val="22"/>
          <w:rtl/>
        </w:rPr>
        <w:t>הממשלה מבקשת</w:t>
      </w:r>
      <w:r w:rsidRPr="000A4255">
        <w:rPr>
          <w:rFonts w:ascii="Alef" w:hAnsi="Alef" w:cs="Alef"/>
          <w:sz w:val="22"/>
          <w:szCs w:val="22"/>
          <w:rtl/>
        </w:rPr>
        <w:t xml:space="preserve"> להבטיח אספקה מקומית</w:t>
      </w:r>
      <w:r w:rsidR="00431850" w:rsidRPr="000A4255">
        <w:rPr>
          <w:rFonts w:ascii="Alef" w:hAnsi="Alef" w:cs="Alef"/>
          <w:sz w:val="22"/>
          <w:szCs w:val="22"/>
          <w:rtl/>
        </w:rPr>
        <w:t xml:space="preserve"> בכמות</w:t>
      </w:r>
      <w:r w:rsidRPr="000A4255">
        <w:rPr>
          <w:rFonts w:ascii="Alef" w:hAnsi="Alef" w:cs="Alef"/>
          <w:sz w:val="22"/>
          <w:szCs w:val="22"/>
          <w:rtl/>
        </w:rPr>
        <w:t xml:space="preserve"> גדולה יותר.</w:t>
      </w:r>
      <w:r w:rsidRPr="000A4255">
        <w:rPr>
          <w:rStyle w:val="FootnoteReference"/>
          <w:rFonts w:ascii="Alef" w:hAnsi="Alef" w:cs="Alef"/>
          <w:sz w:val="22"/>
          <w:szCs w:val="22"/>
          <w:rtl/>
        </w:rPr>
        <w:footnoteReference w:id="24"/>
      </w:r>
      <w:r w:rsidRPr="000A4255">
        <w:rPr>
          <w:rFonts w:ascii="Alef" w:hAnsi="Alef" w:cs="Alef"/>
          <w:sz w:val="22"/>
          <w:szCs w:val="22"/>
          <w:rtl/>
        </w:rPr>
        <w:t xml:space="preserve"> </w:t>
      </w:r>
      <w:r w:rsidR="00846617" w:rsidRPr="000A4255">
        <w:rPr>
          <w:rFonts w:ascii="Alef" w:hAnsi="Alef" w:cs="Alef"/>
          <w:sz w:val="22"/>
          <w:szCs w:val="22"/>
          <w:rtl/>
        </w:rPr>
        <w:lastRenderedPageBreak/>
        <w:t xml:space="preserve">מכאן, </w:t>
      </w:r>
      <w:r w:rsidR="00D3687C" w:rsidRPr="000A4255">
        <w:rPr>
          <w:rFonts w:ascii="Alef" w:hAnsi="Alef" w:cs="Alef"/>
          <w:sz w:val="22"/>
          <w:szCs w:val="22"/>
          <w:rtl/>
        </w:rPr>
        <w:t>ש</w:t>
      </w:r>
      <w:r w:rsidR="00846617" w:rsidRPr="000A4255">
        <w:rPr>
          <w:rFonts w:ascii="Alef" w:hAnsi="Alef" w:cs="Alef"/>
          <w:sz w:val="22"/>
          <w:szCs w:val="22"/>
          <w:rtl/>
        </w:rPr>
        <w:t xml:space="preserve">נותרו </w:t>
      </w:r>
      <w:r w:rsidR="006703F6" w:rsidRPr="000A4255">
        <w:rPr>
          <w:rFonts w:ascii="Alef" w:hAnsi="Alef" w:cs="Alef"/>
          <w:sz w:val="22"/>
          <w:szCs w:val="22"/>
          <w:rtl/>
        </w:rPr>
        <w:t>עוד ביקושים</w:t>
      </w:r>
      <w:r w:rsidR="00846617" w:rsidRPr="000A4255">
        <w:rPr>
          <w:rFonts w:ascii="Alef" w:hAnsi="Alef" w:cs="Alef"/>
          <w:sz w:val="22"/>
          <w:szCs w:val="22"/>
          <w:rtl/>
        </w:rPr>
        <w:t xml:space="preserve"> שטרם נחתמו לגביהם חוזים, אשר יכולים להיות מסופקים על ידי שלושת המאגרים הקיימים. עם זאת, </w:t>
      </w:r>
      <w:r w:rsidRPr="000A4255">
        <w:rPr>
          <w:rFonts w:ascii="Alef" w:hAnsi="Alef" w:cs="Alef"/>
          <w:sz w:val="22"/>
          <w:szCs w:val="22"/>
          <w:rtl/>
        </w:rPr>
        <w:t xml:space="preserve">על פי המידע המצוי בפניי היום, </w:t>
      </w:r>
      <w:r w:rsidR="00846617" w:rsidRPr="000A4255">
        <w:rPr>
          <w:rFonts w:ascii="Alef" w:hAnsi="Alef" w:cs="Alef"/>
          <w:sz w:val="22"/>
          <w:szCs w:val="22"/>
          <w:rtl/>
        </w:rPr>
        <w:t xml:space="preserve">כמות </w:t>
      </w:r>
      <w:r w:rsidRPr="000A4255">
        <w:rPr>
          <w:rFonts w:ascii="Alef" w:hAnsi="Alef" w:cs="Alef"/>
          <w:sz w:val="22"/>
          <w:szCs w:val="22"/>
          <w:rtl/>
        </w:rPr>
        <w:t>הגז במאגרי כריש-תנין נמכר</w:t>
      </w:r>
      <w:r w:rsidR="00FF3D9E" w:rsidRPr="000A4255">
        <w:rPr>
          <w:rFonts w:ascii="Alef" w:hAnsi="Alef" w:cs="Alef"/>
          <w:sz w:val="22"/>
          <w:szCs w:val="22"/>
          <w:rtl/>
        </w:rPr>
        <w:t>ה</w:t>
      </w:r>
      <w:r w:rsidRPr="000A4255">
        <w:rPr>
          <w:rFonts w:ascii="Alef" w:hAnsi="Alef" w:cs="Alef"/>
          <w:sz w:val="22"/>
          <w:szCs w:val="22"/>
          <w:rtl/>
        </w:rPr>
        <w:t xml:space="preserve"> כמעט כול</w:t>
      </w:r>
      <w:r w:rsidR="00485A09" w:rsidRPr="000A4255">
        <w:rPr>
          <w:rFonts w:ascii="Alef" w:hAnsi="Alef" w:cs="Alef"/>
          <w:sz w:val="22"/>
          <w:szCs w:val="22"/>
          <w:rtl/>
        </w:rPr>
        <w:t>ה</w:t>
      </w:r>
      <w:r w:rsidRPr="000A4255">
        <w:rPr>
          <w:rFonts w:ascii="Alef" w:hAnsi="Alef" w:cs="Alef"/>
          <w:sz w:val="22"/>
          <w:szCs w:val="22"/>
          <w:rtl/>
        </w:rPr>
        <w:t xml:space="preserve">, ואילו </w:t>
      </w:r>
      <w:r w:rsidR="00846617" w:rsidRPr="000A4255">
        <w:rPr>
          <w:rFonts w:ascii="Alef" w:hAnsi="Alef" w:cs="Alef"/>
          <w:sz w:val="22"/>
          <w:szCs w:val="22"/>
          <w:rtl/>
        </w:rPr>
        <w:t xml:space="preserve">כמות </w:t>
      </w:r>
      <w:r w:rsidRPr="000A4255">
        <w:rPr>
          <w:rFonts w:ascii="Alef" w:hAnsi="Alef" w:cs="Alef"/>
          <w:sz w:val="22"/>
          <w:szCs w:val="22"/>
          <w:rtl/>
        </w:rPr>
        <w:t xml:space="preserve">הגז </w:t>
      </w:r>
      <w:r w:rsidR="00D3687C" w:rsidRPr="000A4255">
        <w:rPr>
          <w:rFonts w:ascii="Alef" w:hAnsi="Alef" w:cs="Alef"/>
          <w:sz w:val="22"/>
          <w:szCs w:val="22"/>
          <w:rtl/>
        </w:rPr>
        <w:t xml:space="preserve">בהם </w:t>
      </w:r>
      <w:r w:rsidRPr="000A4255">
        <w:rPr>
          <w:rFonts w:ascii="Alef" w:hAnsi="Alef" w:cs="Alef"/>
          <w:sz w:val="22"/>
          <w:szCs w:val="22"/>
          <w:rtl/>
        </w:rPr>
        <w:t xml:space="preserve">שלא נמכרה, כמו גם </w:t>
      </w:r>
      <w:r w:rsidR="00846617" w:rsidRPr="000A4255">
        <w:rPr>
          <w:rFonts w:ascii="Alef" w:hAnsi="Alef" w:cs="Alef"/>
          <w:sz w:val="22"/>
          <w:szCs w:val="22"/>
          <w:rtl/>
        </w:rPr>
        <w:t xml:space="preserve">כמות הגז </w:t>
      </w:r>
      <w:r w:rsidR="00D3687C" w:rsidRPr="000A4255">
        <w:rPr>
          <w:rFonts w:ascii="Alef" w:hAnsi="Alef" w:cs="Alef"/>
          <w:sz w:val="22"/>
          <w:szCs w:val="22"/>
          <w:rtl/>
        </w:rPr>
        <w:t xml:space="preserve">במאגר תמר </w:t>
      </w:r>
      <w:r w:rsidR="00846617" w:rsidRPr="000A4255">
        <w:rPr>
          <w:rFonts w:ascii="Alef" w:hAnsi="Alef" w:cs="Alef"/>
          <w:sz w:val="22"/>
          <w:szCs w:val="22"/>
          <w:rtl/>
        </w:rPr>
        <w:t>שלא נמכרה</w:t>
      </w:r>
      <w:r w:rsidRPr="000A4255">
        <w:rPr>
          <w:rFonts w:ascii="Alef" w:hAnsi="Alef" w:cs="Alef"/>
          <w:sz w:val="22"/>
          <w:szCs w:val="22"/>
          <w:rtl/>
        </w:rPr>
        <w:t xml:space="preserve">, </w:t>
      </w:r>
      <w:r w:rsidR="00846617" w:rsidRPr="000A4255">
        <w:rPr>
          <w:rFonts w:ascii="Alef" w:hAnsi="Alef" w:cs="Alef"/>
          <w:sz w:val="22"/>
          <w:szCs w:val="22"/>
          <w:rtl/>
        </w:rPr>
        <w:t xml:space="preserve">אינן צפויות </w:t>
      </w:r>
      <w:r w:rsidRPr="000A4255">
        <w:rPr>
          <w:rFonts w:ascii="Alef" w:hAnsi="Alef" w:cs="Alef"/>
          <w:sz w:val="22"/>
          <w:szCs w:val="22"/>
          <w:rtl/>
        </w:rPr>
        <w:t xml:space="preserve">לתת מענה </w:t>
      </w:r>
      <w:r w:rsidR="00846617" w:rsidRPr="000A4255">
        <w:rPr>
          <w:rFonts w:ascii="Alef" w:hAnsi="Alef" w:cs="Alef"/>
          <w:sz w:val="22"/>
          <w:szCs w:val="22"/>
          <w:rtl/>
        </w:rPr>
        <w:t xml:space="preserve">לכלל </w:t>
      </w:r>
      <w:r w:rsidRPr="000A4255">
        <w:rPr>
          <w:rFonts w:ascii="Alef" w:hAnsi="Alef" w:cs="Alef"/>
          <w:sz w:val="22"/>
          <w:szCs w:val="22"/>
          <w:rtl/>
        </w:rPr>
        <w:t xml:space="preserve">הביקושים הצפויים במשק. </w:t>
      </w:r>
      <w:r w:rsidR="006703F6" w:rsidRPr="000A4255">
        <w:rPr>
          <w:rFonts w:ascii="Alef" w:hAnsi="Alef" w:cs="Alef"/>
          <w:sz w:val="22"/>
          <w:szCs w:val="22"/>
          <w:rtl/>
        </w:rPr>
        <w:t>לשון אחר</w:t>
      </w:r>
      <w:r w:rsidRPr="000A4255">
        <w:rPr>
          <w:rFonts w:ascii="Alef" w:hAnsi="Alef" w:cs="Alef"/>
          <w:sz w:val="22"/>
          <w:szCs w:val="22"/>
          <w:rtl/>
        </w:rPr>
        <w:t>, גם אם מאגר</w:t>
      </w:r>
      <w:r w:rsidR="006703F6" w:rsidRPr="000A4255">
        <w:rPr>
          <w:rFonts w:ascii="Alef" w:hAnsi="Alef" w:cs="Alef"/>
          <w:sz w:val="22"/>
          <w:szCs w:val="22"/>
          <w:rtl/>
        </w:rPr>
        <w:t>י</w:t>
      </w:r>
      <w:r w:rsidRPr="000A4255">
        <w:rPr>
          <w:rFonts w:ascii="Alef" w:hAnsi="Alef" w:cs="Alef"/>
          <w:sz w:val="22"/>
          <w:szCs w:val="22"/>
          <w:rtl/>
        </w:rPr>
        <w:t xml:space="preserve"> תמר </w:t>
      </w:r>
      <w:r w:rsidR="006703F6" w:rsidRPr="000A4255">
        <w:rPr>
          <w:rFonts w:ascii="Alef" w:hAnsi="Alef" w:cs="Alef"/>
          <w:sz w:val="22"/>
          <w:szCs w:val="22"/>
          <w:rtl/>
        </w:rPr>
        <w:t>ו</w:t>
      </w:r>
      <w:r w:rsidR="00D3687C" w:rsidRPr="000A4255">
        <w:rPr>
          <w:rFonts w:ascii="Alef" w:hAnsi="Alef" w:cs="Alef"/>
          <w:sz w:val="22"/>
          <w:szCs w:val="22"/>
          <w:rtl/>
        </w:rPr>
        <w:t>כריש-</w:t>
      </w:r>
      <w:r w:rsidR="006703F6" w:rsidRPr="000A4255">
        <w:rPr>
          <w:rFonts w:ascii="Alef" w:hAnsi="Alef" w:cs="Alef"/>
          <w:sz w:val="22"/>
          <w:szCs w:val="22"/>
          <w:rtl/>
        </w:rPr>
        <w:t xml:space="preserve">תנין </w:t>
      </w:r>
      <w:r w:rsidRPr="000A4255">
        <w:rPr>
          <w:rFonts w:ascii="Alef" w:hAnsi="Alef" w:cs="Alef"/>
          <w:sz w:val="22"/>
          <w:szCs w:val="22"/>
          <w:rtl/>
        </w:rPr>
        <w:t>יספק</w:t>
      </w:r>
      <w:r w:rsidR="006703F6" w:rsidRPr="000A4255">
        <w:rPr>
          <w:rFonts w:ascii="Alef" w:hAnsi="Alef" w:cs="Alef"/>
          <w:sz w:val="22"/>
          <w:szCs w:val="22"/>
          <w:rtl/>
        </w:rPr>
        <w:t>ו</w:t>
      </w:r>
      <w:r w:rsidRPr="000A4255">
        <w:rPr>
          <w:rFonts w:ascii="Alef" w:hAnsi="Alef" w:cs="Alef"/>
          <w:sz w:val="22"/>
          <w:szCs w:val="22"/>
          <w:rtl/>
        </w:rPr>
        <w:t xml:space="preserve"> </w:t>
      </w:r>
      <w:r w:rsidR="006703F6" w:rsidRPr="000A4255">
        <w:rPr>
          <w:rFonts w:ascii="Alef" w:hAnsi="Alef" w:cs="Alef"/>
          <w:sz w:val="22"/>
          <w:szCs w:val="22"/>
          <w:rtl/>
        </w:rPr>
        <w:t xml:space="preserve">לשוק המקומי </w:t>
      </w:r>
      <w:r w:rsidRPr="000A4255">
        <w:rPr>
          <w:rFonts w:ascii="Alef" w:hAnsi="Alef" w:cs="Alef"/>
          <w:sz w:val="22"/>
          <w:szCs w:val="22"/>
          <w:rtl/>
        </w:rPr>
        <w:t xml:space="preserve">את </w:t>
      </w:r>
      <w:r w:rsidR="006703F6" w:rsidRPr="000A4255">
        <w:rPr>
          <w:rFonts w:ascii="Alef" w:hAnsi="Alef" w:cs="Alef"/>
          <w:sz w:val="22"/>
          <w:szCs w:val="22"/>
          <w:rtl/>
        </w:rPr>
        <w:t xml:space="preserve">מלוא </w:t>
      </w:r>
      <w:r w:rsidR="005508F6" w:rsidRPr="000A4255">
        <w:rPr>
          <w:rFonts w:ascii="Alef" w:hAnsi="Alef" w:cs="Alef"/>
          <w:sz w:val="22"/>
          <w:szCs w:val="22"/>
          <w:rtl/>
        </w:rPr>
        <w:t>הכמות הפנויה למכירה שבאמתחתם</w:t>
      </w:r>
      <w:r w:rsidRPr="000A4255">
        <w:rPr>
          <w:rFonts w:ascii="Alef" w:hAnsi="Alef" w:cs="Alef"/>
          <w:sz w:val="22"/>
          <w:szCs w:val="22"/>
          <w:rtl/>
        </w:rPr>
        <w:t xml:space="preserve">, הרי שעבור שארית הביקוש לווייתן ייוותר שחקן יחיד. </w:t>
      </w:r>
      <w:r w:rsidR="000C32A6" w:rsidRPr="000A4255">
        <w:rPr>
          <w:rFonts w:ascii="Alef" w:hAnsi="Alef" w:cs="Alef"/>
          <w:sz w:val="22"/>
          <w:szCs w:val="22"/>
          <w:rtl/>
        </w:rPr>
        <w:t>כניסתה של דלק לרישיון רועי, בהנחה שזה יתפתח לתגלית</w:t>
      </w:r>
      <w:r w:rsidR="005F7EEC" w:rsidRPr="000A4255">
        <w:rPr>
          <w:rFonts w:ascii="Alef" w:hAnsi="Alef" w:cs="Alef"/>
          <w:sz w:val="22"/>
          <w:szCs w:val="22"/>
          <w:rtl/>
        </w:rPr>
        <w:t>,</w:t>
      </w:r>
      <w:r w:rsidR="000C32A6" w:rsidRPr="000A4255">
        <w:rPr>
          <w:rFonts w:ascii="Alef" w:hAnsi="Alef" w:cs="Alef"/>
          <w:sz w:val="22"/>
          <w:szCs w:val="22"/>
          <w:rtl/>
        </w:rPr>
        <w:t xml:space="preserve"> </w:t>
      </w:r>
      <w:r w:rsidR="005F7EEC" w:rsidRPr="000A4255">
        <w:rPr>
          <w:rFonts w:ascii="Alef" w:hAnsi="Alef" w:cs="Alef"/>
          <w:sz w:val="22"/>
          <w:szCs w:val="22"/>
          <w:rtl/>
        </w:rPr>
        <w:t>תגביל</w:t>
      </w:r>
      <w:r w:rsidR="001B298D" w:rsidRPr="000A4255">
        <w:rPr>
          <w:rFonts w:ascii="Alef" w:hAnsi="Alef" w:cs="Alef"/>
          <w:sz w:val="22"/>
          <w:szCs w:val="22"/>
          <w:rtl/>
        </w:rPr>
        <w:t xml:space="preserve"> את האפשרות שמאגר רועי יהפוך להיות אלטרנטיבה תחרותית ל</w:t>
      </w:r>
      <w:r w:rsidR="005F7EEC" w:rsidRPr="000A4255">
        <w:rPr>
          <w:rFonts w:ascii="Alef" w:hAnsi="Alef" w:cs="Alef"/>
          <w:sz w:val="22"/>
          <w:szCs w:val="22"/>
          <w:rtl/>
        </w:rPr>
        <w:t xml:space="preserve">מאגר </w:t>
      </w:r>
      <w:r w:rsidR="001B298D" w:rsidRPr="000A4255">
        <w:rPr>
          <w:rFonts w:ascii="Alef" w:hAnsi="Alef" w:cs="Alef"/>
          <w:sz w:val="22"/>
          <w:szCs w:val="22"/>
          <w:rtl/>
        </w:rPr>
        <w:t>לווי</w:t>
      </w:r>
      <w:r w:rsidR="005F7EEC" w:rsidRPr="000A4255">
        <w:rPr>
          <w:rFonts w:ascii="Alef" w:hAnsi="Alef" w:cs="Alef"/>
          <w:sz w:val="22"/>
          <w:szCs w:val="22"/>
          <w:rtl/>
        </w:rPr>
        <w:t>י</w:t>
      </w:r>
      <w:r w:rsidR="001B298D" w:rsidRPr="000A4255">
        <w:rPr>
          <w:rFonts w:ascii="Alef" w:hAnsi="Alef" w:cs="Alef"/>
          <w:sz w:val="22"/>
          <w:szCs w:val="22"/>
          <w:rtl/>
        </w:rPr>
        <w:t>תן</w:t>
      </w:r>
      <w:r w:rsidRPr="000A4255">
        <w:rPr>
          <w:rFonts w:ascii="Alef" w:hAnsi="Alef" w:cs="Alef"/>
          <w:sz w:val="22"/>
          <w:szCs w:val="22"/>
          <w:rtl/>
        </w:rPr>
        <w:t>.</w:t>
      </w:r>
      <w:r w:rsidRPr="000A4255">
        <w:rPr>
          <w:rStyle w:val="FootnoteReference"/>
          <w:rFonts w:ascii="Alef" w:hAnsi="Alef" w:cs="Alef"/>
          <w:sz w:val="22"/>
          <w:szCs w:val="22"/>
          <w:rtl/>
        </w:rPr>
        <w:footnoteReference w:id="25"/>
      </w:r>
      <w:r w:rsidRPr="000A4255">
        <w:rPr>
          <w:rFonts w:ascii="Alef" w:hAnsi="Alef" w:cs="Alef"/>
          <w:sz w:val="22"/>
          <w:szCs w:val="22"/>
          <w:rtl/>
        </w:rPr>
        <w:t xml:space="preserve"> </w:t>
      </w:r>
    </w:p>
    <w:p w14:paraId="181A2186" w14:textId="2E5EEFBD" w:rsidR="00380C33"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 xml:space="preserve">אחזקה של פירמה בנכסים של מתחריה </w:t>
      </w:r>
      <w:r w:rsidR="008344B3" w:rsidRPr="000A4255">
        <w:rPr>
          <w:rFonts w:ascii="Alef" w:hAnsi="Alef" w:cs="Alef"/>
          <w:sz w:val="22"/>
          <w:szCs w:val="22"/>
          <w:rtl/>
        </w:rPr>
        <w:t xml:space="preserve">מאפשרת </w:t>
      </w:r>
      <w:r w:rsidR="00ED21B1" w:rsidRPr="000A4255">
        <w:rPr>
          <w:rFonts w:ascii="Alef" w:hAnsi="Alef" w:cs="Alef"/>
          <w:sz w:val="22"/>
          <w:szCs w:val="22"/>
          <w:rtl/>
        </w:rPr>
        <w:t>לשני המתחרים</w:t>
      </w:r>
      <w:r w:rsidR="008344B3" w:rsidRPr="000A4255">
        <w:rPr>
          <w:rFonts w:ascii="Alef" w:hAnsi="Alef" w:cs="Alef"/>
          <w:sz w:val="22"/>
          <w:szCs w:val="22"/>
          <w:rtl/>
        </w:rPr>
        <w:t xml:space="preserve"> לפעול כגורם אחד ומאיינת את התחרות ביניהם. </w:t>
      </w:r>
      <w:r w:rsidRPr="000A4255">
        <w:rPr>
          <w:rFonts w:ascii="Alef" w:hAnsi="Alef" w:cs="Alef"/>
          <w:sz w:val="22"/>
          <w:szCs w:val="22"/>
          <w:rtl/>
        </w:rPr>
        <w:t xml:space="preserve">ככל שהיחס בין האחזקות של הפירמה בנכס של המתחרה ובין האחזקות של הפירמה בנכס שלה עצמה גדול יותר, כך המשקל שהפירמה נותנת לרווחיה מהנכס של המתחרה גדול יותר. פועל יוצא מכך הוא </w:t>
      </w:r>
      <w:r w:rsidR="00EC72AD" w:rsidRPr="000A4255">
        <w:rPr>
          <w:rFonts w:ascii="Alef" w:hAnsi="Alef" w:cs="Alef"/>
          <w:sz w:val="22"/>
          <w:szCs w:val="22"/>
          <w:rtl/>
        </w:rPr>
        <w:t xml:space="preserve">שהתמריץ של הפירמה </w:t>
      </w:r>
      <w:r w:rsidRPr="000A4255">
        <w:rPr>
          <w:rFonts w:ascii="Alef" w:hAnsi="Alef" w:cs="Alef"/>
          <w:sz w:val="22"/>
          <w:szCs w:val="22"/>
          <w:rtl/>
        </w:rPr>
        <w:t>להתחרות באופן אגרסיבי ולפגוע ברווחי</w:t>
      </w:r>
      <w:r w:rsidR="00EC72AD" w:rsidRPr="000A4255">
        <w:rPr>
          <w:rFonts w:ascii="Alef" w:hAnsi="Alef" w:cs="Alef"/>
          <w:sz w:val="22"/>
          <w:szCs w:val="22"/>
          <w:rtl/>
        </w:rPr>
        <w:t>ו</w:t>
      </w:r>
      <w:r w:rsidRPr="000A4255">
        <w:rPr>
          <w:rFonts w:ascii="Alef" w:hAnsi="Alef" w:cs="Alef"/>
          <w:sz w:val="22"/>
          <w:szCs w:val="22"/>
          <w:rtl/>
        </w:rPr>
        <w:t xml:space="preserve"> של המתחרה</w:t>
      </w:r>
      <w:r w:rsidR="00EC72AD" w:rsidRPr="000A4255">
        <w:rPr>
          <w:rFonts w:ascii="Alef" w:hAnsi="Alef" w:cs="Alef"/>
          <w:sz w:val="22"/>
          <w:szCs w:val="22"/>
        </w:rPr>
        <w:t xml:space="preserve"> </w:t>
      </w:r>
      <w:r w:rsidR="00EC72AD" w:rsidRPr="000A4255">
        <w:rPr>
          <w:rFonts w:ascii="Alef" w:hAnsi="Alef" w:cs="Alef"/>
          <w:sz w:val="22"/>
          <w:szCs w:val="22"/>
          <w:rtl/>
        </w:rPr>
        <w:t>קטן</w:t>
      </w:r>
      <w:r w:rsidRPr="000A4255">
        <w:rPr>
          <w:rFonts w:ascii="Alef" w:hAnsi="Alef" w:cs="Alef"/>
          <w:sz w:val="22"/>
          <w:szCs w:val="22"/>
          <w:rtl/>
        </w:rPr>
        <w:t>.</w:t>
      </w:r>
      <w:r w:rsidRPr="000A4255">
        <w:rPr>
          <w:rStyle w:val="FootnoteReference"/>
          <w:rFonts w:ascii="Alef" w:hAnsi="Alef" w:cs="Alef"/>
          <w:sz w:val="22"/>
          <w:szCs w:val="22"/>
          <w:rtl/>
        </w:rPr>
        <w:footnoteReference w:id="26"/>
      </w:r>
      <w:r w:rsidRPr="000A4255">
        <w:rPr>
          <w:rFonts w:ascii="Alef" w:hAnsi="Alef" w:cs="Alef"/>
          <w:sz w:val="22"/>
          <w:szCs w:val="22"/>
          <w:rtl/>
        </w:rPr>
        <w:t xml:space="preserve"> בהסדר דנן, ההשפעה היא כפולה: ראשית, </w:t>
      </w:r>
      <w:r w:rsidR="001F331D" w:rsidRPr="000A4255">
        <w:rPr>
          <w:rFonts w:ascii="Alef" w:hAnsi="Alef" w:cs="Alef"/>
          <w:sz w:val="22"/>
          <w:szCs w:val="22"/>
          <w:rtl/>
        </w:rPr>
        <w:t xml:space="preserve">על פי ההסדר המוצע </w:t>
      </w:r>
      <w:r w:rsidRPr="000A4255">
        <w:rPr>
          <w:rFonts w:ascii="Alef" w:hAnsi="Alef" w:cs="Alef"/>
          <w:sz w:val="22"/>
          <w:szCs w:val="22"/>
          <w:rtl/>
        </w:rPr>
        <w:t xml:space="preserve">דלק </w:t>
      </w:r>
      <w:r w:rsidR="003357F8" w:rsidRPr="000A4255">
        <w:rPr>
          <w:rFonts w:ascii="Alef" w:hAnsi="Alef" w:cs="Alef"/>
          <w:sz w:val="22"/>
          <w:szCs w:val="22"/>
          <w:rtl/>
        </w:rPr>
        <w:t xml:space="preserve">קידוחים </w:t>
      </w:r>
      <w:r w:rsidRPr="000A4255">
        <w:rPr>
          <w:rFonts w:ascii="Alef" w:hAnsi="Alef" w:cs="Alef"/>
          <w:sz w:val="22"/>
          <w:szCs w:val="22"/>
          <w:rtl/>
        </w:rPr>
        <w:t>תחזיק ב-24.99% מהזכויות ברישיון רועי, ולמעשה היחס בין אחזקותיה ברישיון רועי ובין אחזקותיה במאגר לווייתן יגדל מ-</w:t>
      </w:r>
      <w:r w:rsidRPr="000A4255">
        <w:rPr>
          <w:rFonts w:ascii="Alef" w:hAnsi="Alef" w:cs="Alef"/>
          <w:sz w:val="22"/>
          <w:szCs w:val="22"/>
        </w:rPr>
        <w:t>0%/45%</w:t>
      </w:r>
      <w:r w:rsidRPr="000A4255">
        <w:rPr>
          <w:rFonts w:ascii="Alef" w:hAnsi="Alef" w:cs="Alef"/>
          <w:sz w:val="22"/>
          <w:szCs w:val="22"/>
          <w:rtl/>
        </w:rPr>
        <w:t xml:space="preserve"> ל-</w:t>
      </w:r>
      <w:r w:rsidRPr="000A4255">
        <w:rPr>
          <w:rFonts w:ascii="Alef" w:hAnsi="Alef" w:cs="Alef"/>
          <w:sz w:val="22"/>
          <w:szCs w:val="22"/>
        </w:rPr>
        <w:t>24.99%/45%</w:t>
      </w:r>
      <w:r w:rsidRPr="000A4255">
        <w:rPr>
          <w:rFonts w:ascii="Alef" w:hAnsi="Alef" w:cs="Alef"/>
          <w:sz w:val="22"/>
          <w:szCs w:val="22"/>
          <w:rtl/>
        </w:rPr>
        <w:t xml:space="preserve">. שנית, רציו תדלל אמנם את אחזקותיה ברישיון רועי, אך היחס בין אחזקותיה במאגר לווייתן ובין אחזקותיה ברישיון רועי </w:t>
      </w:r>
      <w:r w:rsidR="00BC3324" w:rsidRPr="000A4255">
        <w:rPr>
          <w:rFonts w:ascii="Alef" w:hAnsi="Alef" w:cs="Alef"/>
          <w:sz w:val="22"/>
          <w:szCs w:val="22"/>
          <w:rtl/>
        </w:rPr>
        <w:t xml:space="preserve">יגדל </w:t>
      </w:r>
      <w:r w:rsidRPr="000A4255">
        <w:rPr>
          <w:rFonts w:ascii="Alef" w:hAnsi="Alef" w:cs="Alef"/>
          <w:sz w:val="22"/>
          <w:szCs w:val="22"/>
          <w:rtl/>
        </w:rPr>
        <w:t>מ-</w:t>
      </w:r>
      <w:r w:rsidRPr="000A4255">
        <w:rPr>
          <w:rFonts w:ascii="Alef" w:hAnsi="Alef" w:cs="Alef"/>
          <w:sz w:val="22"/>
          <w:szCs w:val="22"/>
        </w:rPr>
        <w:t>15%/70%</w:t>
      </w:r>
      <w:r w:rsidRPr="000A4255">
        <w:rPr>
          <w:rFonts w:ascii="Alef" w:hAnsi="Alef" w:cs="Alef"/>
          <w:sz w:val="22"/>
          <w:szCs w:val="22"/>
          <w:rtl/>
        </w:rPr>
        <w:t xml:space="preserve"> ל-</w:t>
      </w:r>
      <w:r w:rsidRPr="000A4255">
        <w:rPr>
          <w:rFonts w:ascii="Alef" w:hAnsi="Alef" w:cs="Alef"/>
          <w:sz w:val="22"/>
          <w:szCs w:val="22"/>
        </w:rPr>
        <w:t>15%/45.01%</w:t>
      </w:r>
      <w:r w:rsidRPr="000A4255">
        <w:rPr>
          <w:rFonts w:ascii="Alef" w:hAnsi="Alef" w:cs="Alef"/>
          <w:sz w:val="22"/>
          <w:szCs w:val="22"/>
          <w:rtl/>
        </w:rPr>
        <w:t>. כלומר, ההסדר יוביל לכך שהן רציו והן דלק</w:t>
      </w:r>
      <w:r w:rsidR="003357F8" w:rsidRPr="000A4255">
        <w:rPr>
          <w:rFonts w:ascii="Alef" w:hAnsi="Alef" w:cs="Alef"/>
          <w:sz w:val="22"/>
          <w:szCs w:val="22"/>
          <w:rtl/>
        </w:rPr>
        <w:t xml:space="preserve"> קידוחים</w:t>
      </w:r>
      <w:r w:rsidRPr="000A4255">
        <w:rPr>
          <w:rFonts w:ascii="Alef" w:hAnsi="Alef" w:cs="Alef"/>
          <w:sz w:val="22"/>
          <w:szCs w:val="22"/>
          <w:rtl/>
        </w:rPr>
        <w:t xml:space="preserve">, שהן </w:t>
      </w:r>
      <w:r w:rsidR="00F51DB4" w:rsidRPr="000A4255">
        <w:rPr>
          <w:rFonts w:ascii="Alef" w:hAnsi="Alef" w:cs="Alef"/>
          <w:sz w:val="22"/>
          <w:szCs w:val="22"/>
          <w:rtl/>
        </w:rPr>
        <w:t>ה</w:t>
      </w:r>
      <w:r w:rsidRPr="000A4255">
        <w:rPr>
          <w:rFonts w:ascii="Alef" w:hAnsi="Alef" w:cs="Alef"/>
          <w:sz w:val="22"/>
          <w:szCs w:val="22"/>
          <w:rtl/>
        </w:rPr>
        <w:t xml:space="preserve">מחזיקות </w:t>
      </w:r>
      <w:r w:rsidR="00F51DB4" w:rsidRPr="000A4255">
        <w:rPr>
          <w:rFonts w:ascii="Alef" w:hAnsi="Alef" w:cs="Alef"/>
          <w:sz w:val="22"/>
          <w:szCs w:val="22"/>
          <w:rtl/>
        </w:rPr>
        <w:t xml:space="preserve">המשמעותיות </w:t>
      </w:r>
      <w:r w:rsidRPr="000A4255">
        <w:rPr>
          <w:rFonts w:ascii="Alef" w:hAnsi="Alef" w:cs="Alef"/>
          <w:sz w:val="22"/>
          <w:szCs w:val="22"/>
          <w:rtl/>
        </w:rPr>
        <w:t xml:space="preserve">(גם </w:t>
      </w:r>
      <w:r w:rsidR="009F7B55" w:rsidRPr="000A4255">
        <w:rPr>
          <w:rFonts w:ascii="Alef" w:hAnsi="Alef" w:cs="Alef"/>
          <w:sz w:val="22"/>
          <w:szCs w:val="22"/>
          <w:rtl/>
        </w:rPr>
        <w:t xml:space="preserve">ללא </w:t>
      </w:r>
      <w:r w:rsidRPr="000A4255">
        <w:rPr>
          <w:rFonts w:ascii="Alef" w:hAnsi="Alef" w:cs="Alef"/>
          <w:sz w:val="22"/>
          <w:szCs w:val="22"/>
          <w:rtl/>
        </w:rPr>
        <w:t xml:space="preserve">ההסדר) </w:t>
      </w:r>
      <w:r w:rsidR="00F51DB4" w:rsidRPr="000A4255">
        <w:rPr>
          <w:rFonts w:ascii="Alef" w:hAnsi="Alef" w:cs="Alef"/>
          <w:sz w:val="22"/>
          <w:szCs w:val="22"/>
          <w:rtl/>
        </w:rPr>
        <w:t>ב</w:t>
      </w:r>
      <w:r w:rsidRPr="000A4255">
        <w:rPr>
          <w:rFonts w:ascii="Alef" w:hAnsi="Alef" w:cs="Alef"/>
          <w:sz w:val="22"/>
          <w:szCs w:val="22"/>
          <w:rtl/>
        </w:rPr>
        <w:t xml:space="preserve">רישיון רועי ובמאגר לווייתן בהתאמה, </w:t>
      </w:r>
      <w:r w:rsidR="00F51DB4" w:rsidRPr="000A4255">
        <w:rPr>
          <w:rFonts w:ascii="Alef" w:hAnsi="Alef" w:cs="Alef"/>
          <w:sz w:val="22"/>
          <w:szCs w:val="22"/>
          <w:rtl/>
        </w:rPr>
        <w:t>יהפכו לבעלות אינטרסים קרובים יותר ודומים יותר</w:t>
      </w:r>
      <w:r w:rsidRPr="000A4255">
        <w:rPr>
          <w:rFonts w:ascii="Alef" w:hAnsi="Alef" w:cs="Alef"/>
          <w:sz w:val="22"/>
          <w:szCs w:val="22"/>
          <w:rtl/>
        </w:rPr>
        <w:t xml:space="preserve"> וזה בתורו יגדיל את התמריץ שלהן שלא </w:t>
      </w:r>
      <w:r w:rsidR="00BC3324" w:rsidRPr="000A4255">
        <w:rPr>
          <w:rFonts w:ascii="Alef" w:hAnsi="Alef" w:cs="Alef"/>
          <w:sz w:val="22"/>
          <w:szCs w:val="22"/>
          <w:rtl/>
        </w:rPr>
        <w:t xml:space="preserve">להתחרות </w:t>
      </w:r>
      <w:r w:rsidR="00F51DB4" w:rsidRPr="000A4255">
        <w:rPr>
          <w:rFonts w:ascii="Alef" w:hAnsi="Alef" w:cs="Alef"/>
          <w:sz w:val="22"/>
          <w:szCs w:val="22"/>
          <w:rtl/>
        </w:rPr>
        <w:t>זו בזו</w:t>
      </w:r>
      <w:r w:rsidRPr="000A4255">
        <w:rPr>
          <w:rFonts w:ascii="Alef" w:hAnsi="Alef" w:cs="Alef"/>
          <w:sz w:val="22"/>
          <w:szCs w:val="22"/>
          <w:rtl/>
        </w:rPr>
        <w:t xml:space="preserve">. </w:t>
      </w:r>
      <w:r w:rsidR="00BC3324" w:rsidRPr="000A4255">
        <w:rPr>
          <w:rFonts w:ascii="Alef" w:hAnsi="Alef" w:cs="Alef"/>
          <w:sz w:val="22"/>
          <w:szCs w:val="22"/>
          <w:rtl/>
        </w:rPr>
        <w:t xml:space="preserve">מכאן, </w:t>
      </w:r>
      <w:r w:rsidRPr="000A4255">
        <w:rPr>
          <w:rFonts w:ascii="Alef" w:hAnsi="Alef" w:cs="Alef"/>
          <w:sz w:val="22"/>
          <w:szCs w:val="22"/>
          <w:rtl/>
        </w:rPr>
        <w:t xml:space="preserve">שעם התגברות הזיקה </w:t>
      </w:r>
      <w:r w:rsidR="009F7B55" w:rsidRPr="000A4255">
        <w:rPr>
          <w:rFonts w:ascii="Alef" w:hAnsi="Alef" w:cs="Alef"/>
          <w:sz w:val="22"/>
          <w:szCs w:val="22"/>
          <w:rtl/>
        </w:rPr>
        <w:t xml:space="preserve">שבין דלק </w:t>
      </w:r>
      <w:r w:rsidR="003357F8" w:rsidRPr="000A4255">
        <w:rPr>
          <w:rFonts w:ascii="Alef" w:hAnsi="Alef" w:cs="Alef"/>
          <w:sz w:val="22"/>
          <w:szCs w:val="22"/>
          <w:rtl/>
        </w:rPr>
        <w:t xml:space="preserve">קידוחים </w:t>
      </w:r>
      <w:r w:rsidR="009F7B55" w:rsidRPr="000A4255">
        <w:rPr>
          <w:rFonts w:ascii="Alef" w:hAnsi="Alef" w:cs="Alef"/>
          <w:sz w:val="22"/>
          <w:szCs w:val="22"/>
          <w:rtl/>
        </w:rPr>
        <w:t xml:space="preserve">לבין רציו </w:t>
      </w:r>
      <w:r w:rsidRPr="000A4255">
        <w:rPr>
          <w:rFonts w:ascii="Alef" w:hAnsi="Alef" w:cs="Alef"/>
          <w:sz w:val="22"/>
          <w:szCs w:val="22"/>
          <w:rtl/>
        </w:rPr>
        <w:t xml:space="preserve">בדרך של הכנסת דלק </w:t>
      </w:r>
      <w:r w:rsidR="003357F8" w:rsidRPr="000A4255">
        <w:rPr>
          <w:rFonts w:ascii="Alef" w:hAnsi="Alef" w:cs="Alef"/>
          <w:sz w:val="22"/>
          <w:szCs w:val="22"/>
          <w:rtl/>
        </w:rPr>
        <w:t xml:space="preserve">קידוחים </w:t>
      </w:r>
      <w:r w:rsidRPr="000A4255">
        <w:rPr>
          <w:rFonts w:ascii="Alef" w:hAnsi="Alef" w:cs="Alef"/>
          <w:sz w:val="22"/>
          <w:szCs w:val="22"/>
          <w:rtl/>
        </w:rPr>
        <w:t xml:space="preserve">לרישיון רועי, </w:t>
      </w:r>
      <w:r w:rsidR="00947493" w:rsidRPr="000A4255">
        <w:rPr>
          <w:rFonts w:ascii="Alef" w:hAnsi="Alef" w:cs="Alef"/>
          <w:sz w:val="22"/>
          <w:szCs w:val="22"/>
          <w:rtl/>
        </w:rPr>
        <w:t>נוצרת סימטריה באינטרסים שלהם ברישיון רועי ובמאגר לו</w:t>
      </w:r>
      <w:r w:rsidR="003357F8" w:rsidRPr="000A4255">
        <w:rPr>
          <w:rFonts w:ascii="Alef" w:hAnsi="Alef" w:cs="Alef"/>
          <w:sz w:val="22"/>
          <w:szCs w:val="22"/>
          <w:rtl/>
        </w:rPr>
        <w:t>וי</w:t>
      </w:r>
      <w:r w:rsidR="00947493" w:rsidRPr="000A4255">
        <w:rPr>
          <w:rFonts w:ascii="Alef" w:hAnsi="Alef" w:cs="Alef"/>
          <w:sz w:val="22"/>
          <w:szCs w:val="22"/>
          <w:rtl/>
        </w:rPr>
        <w:t xml:space="preserve">יתן וכתוצאה מכך </w:t>
      </w:r>
      <w:r w:rsidRPr="000A4255">
        <w:rPr>
          <w:rFonts w:ascii="Alef" w:hAnsi="Alef" w:cs="Alef"/>
          <w:sz w:val="22"/>
          <w:szCs w:val="22"/>
          <w:rtl/>
        </w:rPr>
        <w:t xml:space="preserve">החשש התחרותי </w:t>
      </w:r>
      <w:r w:rsidR="00947493" w:rsidRPr="000A4255">
        <w:rPr>
          <w:rFonts w:ascii="Alef" w:hAnsi="Alef" w:cs="Alef"/>
          <w:sz w:val="22"/>
          <w:szCs w:val="22"/>
          <w:rtl/>
        </w:rPr>
        <w:t>מ</w:t>
      </w:r>
      <w:r w:rsidRPr="000A4255">
        <w:rPr>
          <w:rFonts w:ascii="Alef" w:hAnsi="Alef" w:cs="Alef"/>
          <w:sz w:val="22"/>
          <w:szCs w:val="22"/>
          <w:rtl/>
        </w:rPr>
        <w:t>חריף.</w:t>
      </w:r>
    </w:p>
    <w:p w14:paraId="2958A388"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eastAsia="Times New Roman" w:hAnsi="Alef" w:cs="Alef"/>
          <w:b/>
          <w:bCs/>
          <w:kern w:val="36"/>
          <w:sz w:val="20"/>
          <w:szCs w:val="22"/>
        </w:rPr>
      </w:pPr>
      <w:r w:rsidRPr="000A4255">
        <w:rPr>
          <w:rFonts w:ascii="Alef" w:eastAsia="Times New Roman" w:hAnsi="Alef" w:cs="Alef"/>
          <w:b/>
          <w:bCs/>
          <w:kern w:val="36"/>
          <w:sz w:val="20"/>
          <w:szCs w:val="22"/>
          <w:rtl/>
        </w:rPr>
        <w:t>התייחסות לטענות הצדדים</w:t>
      </w:r>
    </w:p>
    <w:p w14:paraId="2C5A3A50" w14:textId="0C239ABA" w:rsidR="006B022C" w:rsidRPr="000A4255" w:rsidRDefault="000C7A69" w:rsidP="000A4255">
      <w:pPr>
        <w:bidi/>
        <w:spacing w:after="120" w:line="276" w:lineRule="auto"/>
        <w:jc w:val="both"/>
        <w:rPr>
          <w:rFonts w:ascii="Alef" w:hAnsi="Alef" w:cs="Alef"/>
          <w:sz w:val="22"/>
          <w:szCs w:val="22"/>
          <w:rtl/>
        </w:rPr>
      </w:pPr>
      <w:r w:rsidRPr="000A4255">
        <w:rPr>
          <w:rFonts w:ascii="Alef" w:hAnsi="Alef" w:cs="Alef"/>
          <w:sz w:val="20"/>
          <w:szCs w:val="22"/>
          <w:rtl/>
        </w:rPr>
        <w:lastRenderedPageBreak/>
        <w:t xml:space="preserve"> </w:t>
      </w:r>
      <w:r w:rsidR="00380C33" w:rsidRPr="000A4255">
        <w:rPr>
          <w:rFonts w:ascii="Alef" w:hAnsi="Alef" w:cs="Alef"/>
          <w:sz w:val="22"/>
          <w:szCs w:val="22"/>
          <w:rtl/>
        </w:rPr>
        <w:t>בחלוף 6 שנים וחצי מיום קבלת הרישיון לא בוצע עדיין קידוח ניסיון בשטח רישיון רועי. לטענת רציו, לאורך השנים היא ביקשה לדלל את אחזקותיה על ידי הכנסת שותף נוסף, וזאת לאור הסיכונים הגלומים בהשקעה.</w:t>
      </w:r>
      <w:r w:rsidR="00380C33" w:rsidRPr="000A4255">
        <w:rPr>
          <w:rStyle w:val="FootnoteReference"/>
          <w:rFonts w:ascii="Alef" w:hAnsi="Alef" w:cs="Alef"/>
          <w:sz w:val="22"/>
          <w:szCs w:val="22"/>
          <w:rtl/>
        </w:rPr>
        <w:footnoteReference w:id="27"/>
      </w:r>
      <w:r w:rsidR="00380C33" w:rsidRPr="000A4255">
        <w:rPr>
          <w:rFonts w:ascii="Alef" w:hAnsi="Alef" w:cs="Alef"/>
          <w:sz w:val="22"/>
          <w:szCs w:val="22"/>
          <w:rtl/>
        </w:rPr>
        <w:t xml:space="preserve"> </w:t>
      </w:r>
      <w:r w:rsidR="00F224CF" w:rsidRPr="000A4255">
        <w:rPr>
          <w:rFonts w:ascii="Alef" w:hAnsi="Alef" w:cs="Alef"/>
          <w:sz w:val="22"/>
          <w:szCs w:val="22"/>
          <w:rtl/>
        </w:rPr>
        <w:t>נכון למועד הגשת הבקשה, הצליחה רציו להגיע להסכמות על צירוף שותף לרישיון רק עם דלק קידוחים</w:t>
      </w:r>
      <w:r w:rsidR="00380C33" w:rsidRPr="000A4255">
        <w:rPr>
          <w:rFonts w:ascii="Alef" w:hAnsi="Alef" w:cs="Alef"/>
          <w:sz w:val="22"/>
          <w:szCs w:val="22"/>
          <w:rtl/>
        </w:rPr>
        <w:t xml:space="preserve">. </w:t>
      </w:r>
      <w:r w:rsidR="003650F0" w:rsidRPr="000A4255">
        <w:rPr>
          <w:rFonts w:ascii="Alef" w:hAnsi="Alef" w:cs="Alef"/>
          <w:sz w:val="22"/>
          <w:szCs w:val="22"/>
          <w:rtl/>
        </w:rPr>
        <w:t xml:space="preserve">עוד טוענים הצדדים, כי דלק קידוחים תוכל לתרום למיזם מהידע, המומחיות והניסיון שצברה על מנת להגדיל את הסיכויים למציאת תגלית בשטח הרישיון. </w:t>
      </w:r>
      <w:r w:rsidR="00380C33" w:rsidRPr="000A4255">
        <w:rPr>
          <w:rFonts w:ascii="Alef" w:hAnsi="Alef" w:cs="Alef"/>
          <w:sz w:val="22"/>
          <w:szCs w:val="22"/>
          <w:rtl/>
        </w:rPr>
        <w:t>לשיטת</w:t>
      </w:r>
      <w:r w:rsidR="00F068C9" w:rsidRPr="000A4255">
        <w:rPr>
          <w:rFonts w:ascii="Alef" w:hAnsi="Alef" w:cs="Alef"/>
          <w:sz w:val="22"/>
          <w:szCs w:val="22"/>
          <w:rtl/>
        </w:rPr>
        <w:t xml:space="preserve"> הצדדים</w:t>
      </w:r>
      <w:r w:rsidR="00380C33" w:rsidRPr="000A4255">
        <w:rPr>
          <w:rFonts w:ascii="Alef" w:hAnsi="Alef" w:cs="Alef"/>
          <w:sz w:val="22"/>
          <w:szCs w:val="22"/>
          <w:rtl/>
        </w:rPr>
        <w:t xml:space="preserve">, אי כניסתה של דלק </w:t>
      </w:r>
      <w:r w:rsidR="003357F8" w:rsidRPr="000A4255">
        <w:rPr>
          <w:rFonts w:ascii="Alef" w:hAnsi="Alef" w:cs="Alef"/>
          <w:sz w:val="22"/>
          <w:szCs w:val="22"/>
          <w:rtl/>
        </w:rPr>
        <w:t xml:space="preserve">קידוחים </w:t>
      </w:r>
      <w:r w:rsidR="00380C33" w:rsidRPr="000A4255">
        <w:rPr>
          <w:rFonts w:ascii="Alef" w:hAnsi="Alef" w:cs="Alef"/>
          <w:sz w:val="22"/>
          <w:szCs w:val="22"/>
          <w:rtl/>
        </w:rPr>
        <w:t xml:space="preserve">לרישיון החיפוש מקימה חשש כי הרישיון ייזנח ולא יימצא גז, וכפועל יוצא הציבור ייפגע מהיעדר </w:t>
      </w:r>
      <w:r w:rsidR="00EB602E" w:rsidRPr="000A4255">
        <w:rPr>
          <w:rFonts w:ascii="Alef" w:hAnsi="Alef" w:cs="Alef"/>
          <w:sz w:val="22"/>
          <w:szCs w:val="22"/>
          <w:rtl/>
        </w:rPr>
        <w:t>ה</w:t>
      </w:r>
      <w:r w:rsidR="00380C33" w:rsidRPr="000A4255">
        <w:rPr>
          <w:rFonts w:ascii="Alef" w:hAnsi="Alef" w:cs="Alef"/>
          <w:sz w:val="22"/>
          <w:szCs w:val="22"/>
          <w:rtl/>
        </w:rPr>
        <w:t xml:space="preserve">גז </w:t>
      </w:r>
      <w:r w:rsidR="00EB602E" w:rsidRPr="000A4255">
        <w:rPr>
          <w:rFonts w:ascii="Alef" w:hAnsi="Alef" w:cs="Alef"/>
          <w:sz w:val="22"/>
          <w:szCs w:val="22"/>
          <w:rtl/>
        </w:rPr>
        <w:t>ה</w:t>
      </w:r>
      <w:r w:rsidR="00380C33" w:rsidRPr="000A4255">
        <w:rPr>
          <w:rFonts w:ascii="Alef" w:hAnsi="Alef" w:cs="Alef"/>
          <w:sz w:val="22"/>
          <w:szCs w:val="22"/>
          <w:rtl/>
        </w:rPr>
        <w:t xml:space="preserve">טבעי ומההכנסות להן זכאית המדינה בעקבות הפקתו. </w:t>
      </w:r>
    </w:p>
    <w:p w14:paraId="6866B1BB" w14:textId="2C23D167" w:rsidR="00380C33"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ואולם, לא שוכנעתי כי רציו עשתה כל שלאל ידה על מנת להכניס שותף שאיננו דלק</w:t>
      </w:r>
      <w:r w:rsidR="003357F8" w:rsidRPr="000A4255">
        <w:rPr>
          <w:rFonts w:ascii="Alef" w:hAnsi="Alef" w:cs="Alef"/>
          <w:sz w:val="22"/>
          <w:szCs w:val="22"/>
          <w:rtl/>
        </w:rPr>
        <w:t xml:space="preserve"> קידוחים</w:t>
      </w:r>
      <w:r w:rsidRPr="000A4255">
        <w:rPr>
          <w:rFonts w:ascii="Alef" w:hAnsi="Alef" w:cs="Alef"/>
          <w:sz w:val="22"/>
          <w:szCs w:val="22"/>
          <w:rtl/>
        </w:rPr>
        <w:t>, בפרט לאחר שינוי של שתי נסיבות עיקריות. האחת, דחיית חוב</w:t>
      </w:r>
      <w:r w:rsidR="00D42DB9" w:rsidRPr="000A4255">
        <w:rPr>
          <w:rFonts w:ascii="Alef" w:hAnsi="Alef" w:cs="Alef"/>
          <w:sz w:val="22"/>
          <w:szCs w:val="22"/>
          <w:rtl/>
        </w:rPr>
        <w:t>ת החיבור למשק הישראלי לשנת 2033;</w:t>
      </w:r>
      <w:r w:rsidRPr="000A4255">
        <w:rPr>
          <w:rFonts w:ascii="Alef" w:hAnsi="Alef" w:cs="Alef"/>
          <w:sz w:val="22"/>
          <w:szCs w:val="22"/>
          <w:rtl/>
        </w:rPr>
        <w:t xml:space="preserve"> והשנייה, כוונתה של רציו לחבור לאדיסון בפיתוח השדה המצרי </w:t>
      </w:r>
      <w:r w:rsidRPr="000A4255">
        <w:rPr>
          <w:rFonts w:ascii="Alef" w:hAnsi="Alef" w:cs="Alef"/>
          <w:sz w:val="22"/>
          <w:szCs w:val="22"/>
        </w:rPr>
        <w:t>"North Theka"</w:t>
      </w:r>
      <w:r w:rsidRPr="000A4255">
        <w:rPr>
          <w:rFonts w:ascii="Alef" w:hAnsi="Alef" w:cs="Alef"/>
          <w:sz w:val="22"/>
          <w:szCs w:val="22"/>
          <w:rtl/>
        </w:rPr>
        <w:t xml:space="preserve">, השוכן בסמוך לשטח רישיון רועי, דבר שלשיטתה יגביר את הכדאיות הכלכלית בקידום פיתוח רישיון רועי. שינוי נסיבות </w:t>
      </w:r>
      <w:r w:rsidR="00D42DB9" w:rsidRPr="000A4255">
        <w:rPr>
          <w:rFonts w:ascii="Alef" w:hAnsi="Alef" w:cs="Alef"/>
          <w:sz w:val="22"/>
          <w:szCs w:val="22"/>
          <w:rtl/>
        </w:rPr>
        <w:t>כפול זה</w:t>
      </w:r>
      <w:r w:rsidRPr="000A4255">
        <w:rPr>
          <w:rFonts w:ascii="Alef" w:hAnsi="Alef" w:cs="Alef"/>
          <w:sz w:val="22"/>
          <w:szCs w:val="22"/>
          <w:rtl/>
        </w:rPr>
        <w:t xml:space="preserve"> עשוי להגדיל את האטרקטיביות בעיני משקיעים פוטנציאליים ולהגדיל את סיכויי השקעתם.</w:t>
      </w:r>
      <w:r w:rsidRPr="000A4255">
        <w:rPr>
          <w:rStyle w:val="FootnoteReference"/>
          <w:rFonts w:ascii="Alef" w:hAnsi="Alef" w:cs="Alef"/>
          <w:sz w:val="22"/>
          <w:szCs w:val="22"/>
          <w:rtl/>
        </w:rPr>
        <w:footnoteReference w:id="28"/>
      </w:r>
      <w:r w:rsidRPr="000A4255">
        <w:rPr>
          <w:rFonts w:ascii="Alef" w:hAnsi="Alef" w:cs="Alef"/>
          <w:sz w:val="22"/>
          <w:szCs w:val="22"/>
          <w:rtl/>
        </w:rPr>
        <w:t xml:space="preserve"> </w:t>
      </w:r>
    </w:p>
    <w:p w14:paraId="46BD37B6" w14:textId="0A47A558" w:rsidR="00380C33"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כמו כן לא שוכנעתי כי רציו ויתר השותפות ברישיון רועי נעדרות הידע המקצועי והיכולת הדרושים לקידוח הניסיון, באופן שמחייב את הכנסתה של דלק</w:t>
      </w:r>
      <w:r w:rsidR="003357F8" w:rsidRPr="000A4255">
        <w:rPr>
          <w:rFonts w:ascii="Alef" w:hAnsi="Alef" w:cs="Alef"/>
          <w:sz w:val="22"/>
          <w:szCs w:val="22"/>
          <w:rtl/>
        </w:rPr>
        <w:t xml:space="preserve"> קידוחים</w:t>
      </w:r>
      <w:r w:rsidRPr="000A4255">
        <w:rPr>
          <w:rFonts w:ascii="Alef" w:hAnsi="Alef" w:cs="Alef"/>
          <w:sz w:val="22"/>
          <w:szCs w:val="22"/>
          <w:rtl/>
        </w:rPr>
        <w:t xml:space="preserve"> לרישיון רועי. המדובר בצורך לבזר את הסיכונים ולא שוכנעתי שמשקיע פיננסי שאינו דלק </w:t>
      </w:r>
      <w:r w:rsidR="003357F8" w:rsidRPr="000A4255">
        <w:rPr>
          <w:rFonts w:ascii="Alef" w:hAnsi="Alef" w:cs="Alef"/>
          <w:sz w:val="22"/>
          <w:szCs w:val="22"/>
          <w:rtl/>
        </w:rPr>
        <w:t xml:space="preserve">קידוחים </w:t>
      </w:r>
      <w:r w:rsidRPr="000A4255">
        <w:rPr>
          <w:rFonts w:ascii="Alef" w:hAnsi="Alef" w:cs="Alef"/>
          <w:sz w:val="22"/>
          <w:szCs w:val="22"/>
          <w:rtl/>
        </w:rPr>
        <w:t xml:space="preserve">לא יוכל להיכנס במקומה לרישיון רועי. </w:t>
      </w:r>
    </w:p>
    <w:p w14:paraId="640F26B8" w14:textId="77777777" w:rsidR="00380C33" w:rsidRPr="000A4255" w:rsidRDefault="00380C33" w:rsidP="000A4255">
      <w:pPr>
        <w:bidi/>
        <w:spacing w:after="120" w:line="276" w:lineRule="auto"/>
        <w:jc w:val="both"/>
        <w:rPr>
          <w:rFonts w:ascii="Alef" w:hAnsi="Alef" w:cs="Alef"/>
          <w:sz w:val="22"/>
          <w:szCs w:val="22"/>
          <w:rtl/>
        </w:rPr>
      </w:pPr>
      <w:r w:rsidRPr="000A4255">
        <w:rPr>
          <w:rFonts w:ascii="Alef" w:hAnsi="Alef" w:cs="Alef"/>
          <w:sz w:val="22"/>
          <w:szCs w:val="22"/>
          <w:rtl/>
        </w:rPr>
        <w:t>ומעל לכל לא שוכנעתי, לנוכח הבדיקות שערכתי, כי רציו ויתר השותפות יחליטו להימנע מלקדוח קידוח ניסיון ולהחזיר בסופו של יום את הרישיון למדינה, זאת לאחר שכבר הושקעו בו כספים. לאורך תקופת החזקתה ברישיון, גילתה רציו עניין רב בהשארתו אצלה, האריכה פעמים רבות את המועד האחרון לקידוח הניסיון, פעלה ללא לאות לקבלת אישור הממונה על ענייני הנפט במשרד האנרגיה להפוך בו למפעיל וכיוצא באלו צעדים, שיש בכוחם להעיד על רצינות כוונותיה.</w:t>
      </w:r>
    </w:p>
    <w:p w14:paraId="41C051E8" w14:textId="0B815462" w:rsidR="006B022C" w:rsidRPr="000A4255" w:rsidRDefault="006B022C" w:rsidP="000A4255">
      <w:pPr>
        <w:bidi/>
        <w:spacing w:after="120" w:line="276" w:lineRule="auto"/>
        <w:jc w:val="both"/>
        <w:rPr>
          <w:rFonts w:ascii="Alef" w:hAnsi="Alef" w:cs="Alef"/>
          <w:sz w:val="22"/>
          <w:szCs w:val="22"/>
          <w:rtl/>
        </w:rPr>
      </w:pPr>
      <w:r w:rsidRPr="000A4255">
        <w:rPr>
          <w:rFonts w:ascii="Alef" w:hAnsi="Alef" w:cs="Alef"/>
          <w:sz w:val="22"/>
          <w:szCs w:val="22"/>
          <w:rtl/>
        </w:rPr>
        <w:t xml:space="preserve">הצדדים טענו בפניי, כי בכוונתם </w:t>
      </w:r>
      <w:r w:rsidR="00B33556" w:rsidRPr="000A4255">
        <w:rPr>
          <w:rFonts w:ascii="Alef" w:hAnsi="Alef" w:cs="Alef"/>
          <w:sz w:val="22"/>
          <w:szCs w:val="22"/>
          <w:rtl/>
        </w:rPr>
        <w:t>להפנות</w:t>
      </w:r>
      <w:r w:rsidRPr="000A4255">
        <w:rPr>
          <w:rFonts w:ascii="Alef" w:hAnsi="Alef" w:cs="Alef"/>
          <w:sz w:val="22"/>
          <w:szCs w:val="22"/>
          <w:rtl/>
        </w:rPr>
        <w:t xml:space="preserve"> </w:t>
      </w:r>
      <w:r w:rsidR="00B33556" w:rsidRPr="000A4255">
        <w:rPr>
          <w:rFonts w:ascii="Alef" w:hAnsi="Alef" w:cs="Alef"/>
          <w:sz w:val="22"/>
          <w:szCs w:val="22"/>
          <w:rtl/>
        </w:rPr>
        <w:t>את</w:t>
      </w:r>
      <w:r w:rsidR="00ED21B1" w:rsidRPr="000A4255">
        <w:rPr>
          <w:rFonts w:ascii="Alef" w:hAnsi="Alef" w:cs="Alef"/>
          <w:sz w:val="22"/>
          <w:szCs w:val="22"/>
          <w:rtl/>
        </w:rPr>
        <w:t xml:space="preserve"> </w:t>
      </w:r>
      <w:r w:rsidR="00B33556" w:rsidRPr="000A4255">
        <w:rPr>
          <w:rFonts w:ascii="Alef" w:hAnsi="Alef" w:cs="Alef"/>
          <w:sz w:val="22"/>
          <w:szCs w:val="22"/>
          <w:rtl/>
        </w:rPr>
        <w:t>ה</w:t>
      </w:r>
      <w:r w:rsidRPr="000A4255">
        <w:rPr>
          <w:rFonts w:ascii="Alef" w:hAnsi="Alef" w:cs="Alef"/>
          <w:sz w:val="22"/>
          <w:szCs w:val="22"/>
          <w:rtl/>
        </w:rPr>
        <w:t xml:space="preserve">גז שיימצא ברועי, ככל שיימצא, </w:t>
      </w:r>
      <w:r w:rsidR="003650F0" w:rsidRPr="000A4255">
        <w:rPr>
          <w:rFonts w:ascii="Alef" w:hAnsi="Alef" w:cs="Alef"/>
          <w:sz w:val="22"/>
          <w:szCs w:val="22"/>
          <w:rtl/>
        </w:rPr>
        <w:t>ל</w:t>
      </w:r>
      <w:r w:rsidRPr="000A4255">
        <w:rPr>
          <w:rFonts w:ascii="Alef" w:hAnsi="Alef" w:cs="Alef"/>
          <w:sz w:val="22"/>
          <w:szCs w:val="22"/>
          <w:rtl/>
        </w:rPr>
        <w:t xml:space="preserve">ייצוא. הם סבורים כי אישורו של ההסדר אף יסייע בידיהם לחתום על חוזי ייצוא למדינות האזור הודות לניסיונה של </w:t>
      </w:r>
      <w:r w:rsidRPr="000A4255">
        <w:rPr>
          <w:rFonts w:ascii="Alef" w:hAnsi="Alef" w:cs="Alef"/>
          <w:sz w:val="22"/>
          <w:szCs w:val="22"/>
          <w:rtl/>
        </w:rPr>
        <w:lastRenderedPageBreak/>
        <w:t xml:space="preserve">דלק קידוחים בחתימה על חוזים עם לקוחות ממדינות אלו. ואולם, גם </w:t>
      </w:r>
      <w:r w:rsidR="00B33556" w:rsidRPr="000A4255">
        <w:rPr>
          <w:rFonts w:ascii="Alef" w:hAnsi="Alef" w:cs="Alef"/>
          <w:sz w:val="22"/>
          <w:szCs w:val="22"/>
          <w:rtl/>
        </w:rPr>
        <w:t>במצב בו כל הגז שיימצא יופנה לייצוא</w:t>
      </w:r>
      <w:r w:rsidRPr="000A4255">
        <w:rPr>
          <w:rFonts w:ascii="Alef" w:hAnsi="Alef" w:cs="Alef"/>
          <w:sz w:val="22"/>
          <w:szCs w:val="22"/>
          <w:rtl/>
        </w:rPr>
        <w:t xml:space="preserve"> (</w:t>
      </w:r>
      <w:r w:rsidR="00D92CCC" w:rsidRPr="000A4255">
        <w:rPr>
          <w:rFonts w:ascii="Alef" w:hAnsi="Alef" w:cs="Alef"/>
          <w:sz w:val="22"/>
          <w:szCs w:val="22"/>
          <w:rtl/>
        </w:rPr>
        <w:t xml:space="preserve">וכפי שצוין לעיל, </w:t>
      </w:r>
      <w:r w:rsidR="00CE6A6A" w:rsidRPr="000A4255">
        <w:rPr>
          <w:rFonts w:ascii="Alef" w:hAnsi="Alef" w:cs="Alef"/>
          <w:sz w:val="22"/>
          <w:szCs w:val="22"/>
          <w:rtl/>
        </w:rPr>
        <w:t xml:space="preserve">לפי </w:t>
      </w:r>
      <w:r w:rsidR="00D92CCC" w:rsidRPr="000A4255">
        <w:rPr>
          <w:rFonts w:ascii="Alef" w:hAnsi="Alef" w:cs="Alef"/>
          <w:sz w:val="22"/>
          <w:szCs w:val="22"/>
          <w:rtl/>
        </w:rPr>
        <w:t>החלטת הממשלה 4442</w:t>
      </w:r>
      <w:r w:rsidR="00CE6A6A" w:rsidRPr="000A4255">
        <w:rPr>
          <w:rFonts w:ascii="Alef" w:hAnsi="Alef" w:cs="Alef"/>
          <w:sz w:val="22"/>
          <w:szCs w:val="22"/>
          <w:rtl/>
        </w:rPr>
        <w:t>,</w:t>
      </w:r>
      <w:r w:rsidRPr="000A4255">
        <w:rPr>
          <w:rFonts w:ascii="Alef" w:hAnsi="Alef" w:cs="Alef"/>
          <w:sz w:val="22"/>
          <w:szCs w:val="22"/>
          <w:rtl/>
        </w:rPr>
        <w:t xml:space="preserve"> </w:t>
      </w:r>
      <w:r w:rsidR="00DC2BF6" w:rsidRPr="000A4255">
        <w:rPr>
          <w:rFonts w:ascii="Alef" w:hAnsi="Alef" w:cs="Alef"/>
          <w:sz w:val="22"/>
          <w:szCs w:val="22"/>
          <w:rtl/>
        </w:rPr>
        <w:t>תחול</w:t>
      </w:r>
      <w:r w:rsidR="00D92CCC" w:rsidRPr="000A4255">
        <w:rPr>
          <w:rFonts w:ascii="Alef" w:hAnsi="Alef" w:cs="Alef"/>
          <w:sz w:val="22"/>
          <w:szCs w:val="22"/>
          <w:rtl/>
        </w:rPr>
        <w:t xml:space="preserve"> </w:t>
      </w:r>
      <w:r w:rsidRPr="000A4255">
        <w:rPr>
          <w:rFonts w:ascii="Alef" w:hAnsi="Alef" w:cs="Alef"/>
          <w:sz w:val="22"/>
          <w:szCs w:val="22"/>
          <w:rtl/>
        </w:rPr>
        <w:t>על בעלי הזכויות ברישיון רועי חובת אספקה מינימאלית למשק המקומי</w:t>
      </w:r>
      <w:r w:rsidR="00D92CCC" w:rsidRPr="000A4255">
        <w:rPr>
          <w:rFonts w:ascii="Alef" w:hAnsi="Alef" w:cs="Alef"/>
          <w:sz w:val="22"/>
          <w:szCs w:val="22"/>
          <w:rtl/>
        </w:rPr>
        <w:t xml:space="preserve">, </w:t>
      </w:r>
      <w:r w:rsidR="00CE6A6A" w:rsidRPr="000A4255">
        <w:rPr>
          <w:rFonts w:ascii="Alef" w:hAnsi="Alef" w:cs="Alef"/>
          <w:sz w:val="22"/>
          <w:szCs w:val="22"/>
          <w:rtl/>
        </w:rPr>
        <w:t>במידה</w:t>
      </w:r>
      <w:r w:rsidR="00D92CCC" w:rsidRPr="000A4255">
        <w:rPr>
          <w:rFonts w:ascii="Alef" w:hAnsi="Alef" w:cs="Alef"/>
          <w:sz w:val="22"/>
          <w:szCs w:val="22"/>
          <w:rtl/>
        </w:rPr>
        <w:t xml:space="preserve"> ש</w:t>
      </w:r>
      <w:r w:rsidR="00CE6A6A" w:rsidRPr="000A4255">
        <w:rPr>
          <w:rFonts w:ascii="Alef" w:hAnsi="Alef" w:cs="Alef"/>
          <w:sz w:val="22"/>
          <w:szCs w:val="22"/>
          <w:rtl/>
        </w:rPr>
        <w:t>יתגלו</w:t>
      </w:r>
      <w:r w:rsidR="00D92CCC" w:rsidRPr="000A4255">
        <w:rPr>
          <w:rFonts w:ascii="Alef" w:hAnsi="Alef" w:cs="Alef"/>
          <w:sz w:val="22"/>
          <w:szCs w:val="22"/>
          <w:rtl/>
        </w:rPr>
        <w:t xml:space="preserve"> מעל 50 </w:t>
      </w:r>
      <w:r w:rsidR="00D92CCC" w:rsidRPr="000A4255">
        <w:rPr>
          <w:rFonts w:ascii="Alef" w:hAnsi="Alef" w:cs="Alef"/>
          <w:sz w:val="22"/>
          <w:szCs w:val="22"/>
        </w:rPr>
        <w:t>BCM</w:t>
      </w:r>
      <w:r w:rsidR="000A0A63" w:rsidRPr="000A4255">
        <w:rPr>
          <w:rFonts w:ascii="Alef" w:hAnsi="Alef" w:cs="Alef"/>
          <w:sz w:val="22"/>
          <w:szCs w:val="22"/>
          <w:rtl/>
        </w:rPr>
        <w:t xml:space="preserve"> במאגר</w:t>
      </w:r>
      <w:r w:rsidRPr="000A4255">
        <w:rPr>
          <w:rFonts w:ascii="Alef" w:hAnsi="Alef" w:cs="Alef"/>
          <w:sz w:val="22"/>
          <w:szCs w:val="22"/>
          <w:rtl/>
        </w:rPr>
        <w:t xml:space="preserve">), מבנה האחזקות שייווצר בעקבות כניסת דלק קידוחים לרישיון רועי ישפיע גם על התמריצים של בעלי הזכויות ברישיון רועי להתחבר לחוף המקומי לפני מועד חובת החיבור שנקבעה בהחלטת הממשלה, ועל התמריצים שלהם לספק למשק המקומי יותר מחובת מינימום האספקה שהם כפופים לה. ברי כי השפעתה של דלק קידוחים על קבלת ההחלטות ברישיון רועי, </w:t>
      </w:r>
      <w:r w:rsidR="00DC2BF6" w:rsidRPr="000A4255">
        <w:rPr>
          <w:rFonts w:ascii="Alef" w:hAnsi="Alef" w:cs="Alef"/>
          <w:sz w:val="22"/>
          <w:szCs w:val="22"/>
          <w:rtl/>
        </w:rPr>
        <w:t>אם</w:t>
      </w:r>
      <w:r w:rsidRPr="000A4255">
        <w:rPr>
          <w:rFonts w:ascii="Alef" w:hAnsi="Alef" w:cs="Alef"/>
          <w:sz w:val="22"/>
          <w:szCs w:val="22"/>
          <w:rtl/>
        </w:rPr>
        <w:t xml:space="preserve"> יאושר</w:t>
      </w:r>
      <w:r w:rsidR="00DC2BF6" w:rsidRPr="000A4255">
        <w:rPr>
          <w:rFonts w:ascii="Alef" w:hAnsi="Alef" w:cs="Alef"/>
          <w:sz w:val="22"/>
          <w:szCs w:val="22"/>
          <w:rtl/>
        </w:rPr>
        <w:t xml:space="preserve"> ההסדר</w:t>
      </w:r>
      <w:r w:rsidRPr="000A4255">
        <w:rPr>
          <w:rFonts w:ascii="Alef" w:hAnsi="Alef" w:cs="Alef"/>
          <w:sz w:val="22"/>
          <w:szCs w:val="22"/>
          <w:rtl/>
        </w:rPr>
        <w:t xml:space="preserve">, עלולה להקטין את הסבירות לתרחיש כזה, ובכך עלולה לפגוע בתחרות. יתרה מכך, גם אם בדיעבד יתברר שבעלי הזכויות ברישיון רועי לא יקדימו את החיבור למשק המקומי ולא יספקו יותר מחובת המינימום, הרי שדי ביכולתם לעשות זאת כדי לשמש רסן תחרותי למאגרים הקיימים. כניסת דלק קידוחים לרישיון רועי תיטול מידי בעלי הזכויות ברישיון רועי אפילו את שוט האיום על המאגרים המתחרים, ובכך תפגע בתחרות.   </w:t>
      </w:r>
    </w:p>
    <w:p w14:paraId="0AC2C504" w14:textId="6D5A187E" w:rsidR="00FE39C1" w:rsidRPr="000A4255" w:rsidRDefault="00562C5D"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 xml:space="preserve">לבסוף טענו בפניי הצדדים כי במסגרת מתווה הגז, אולצו רציו ודלק קידוחים להיפרד מאחזקותיהן בתגליות הגז שהיו שותפים למציאתן, </w:t>
      </w:r>
      <w:r w:rsidR="0080711A" w:rsidRPr="000A4255">
        <w:rPr>
          <w:rFonts w:ascii="Alef" w:hAnsi="Alef" w:cs="Alef"/>
          <w:sz w:val="22"/>
          <w:szCs w:val="22"/>
          <w:rtl/>
        </w:rPr>
        <w:t xml:space="preserve">זאת </w:t>
      </w:r>
      <w:r w:rsidRPr="000A4255">
        <w:rPr>
          <w:rFonts w:ascii="Alef" w:hAnsi="Alef" w:cs="Alef"/>
          <w:sz w:val="22"/>
          <w:szCs w:val="22"/>
          <w:rtl/>
        </w:rPr>
        <w:t>על מנת ל</w:t>
      </w:r>
      <w:r w:rsidR="0080711A" w:rsidRPr="000A4255">
        <w:rPr>
          <w:rFonts w:ascii="Alef" w:hAnsi="Alef" w:cs="Alef"/>
          <w:sz w:val="22"/>
          <w:szCs w:val="22"/>
          <w:rtl/>
        </w:rPr>
        <w:t>חצוץ</w:t>
      </w:r>
      <w:r w:rsidRPr="000A4255">
        <w:rPr>
          <w:rFonts w:ascii="Alef" w:hAnsi="Alef" w:cs="Alef"/>
          <w:sz w:val="22"/>
          <w:szCs w:val="22"/>
          <w:rtl/>
        </w:rPr>
        <w:t xml:space="preserve"> בינן לבי</w:t>
      </w:r>
      <w:r w:rsidR="00B73E2B" w:rsidRPr="000A4255">
        <w:rPr>
          <w:rFonts w:ascii="Alef" w:hAnsi="Alef" w:cs="Alef"/>
          <w:sz w:val="22"/>
          <w:szCs w:val="22"/>
          <w:rtl/>
        </w:rPr>
        <w:t>ן</w:t>
      </w:r>
      <w:r w:rsidRPr="000A4255">
        <w:rPr>
          <w:rFonts w:ascii="Alef" w:hAnsi="Alef" w:cs="Alef"/>
          <w:sz w:val="22"/>
          <w:szCs w:val="22"/>
          <w:rtl/>
        </w:rPr>
        <w:t xml:space="preserve"> </w:t>
      </w:r>
      <w:r w:rsidRPr="000A4255">
        <w:rPr>
          <w:rFonts w:ascii="Alef" w:hAnsi="Alef" w:cs="Alef"/>
          <w:sz w:val="22"/>
          <w:szCs w:val="22"/>
        </w:rPr>
        <w:t>Noble Energy</w:t>
      </w:r>
      <w:r w:rsidR="00B73E2B" w:rsidRPr="000A4255">
        <w:rPr>
          <w:rFonts w:ascii="Alef" w:hAnsi="Alef" w:cs="Alef"/>
          <w:sz w:val="22"/>
          <w:szCs w:val="22"/>
          <w:rtl/>
        </w:rPr>
        <w:t xml:space="preserve">. לעומת זאת, </w:t>
      </w:r>
      <w:r w:rsidR="0080711A" w:rsidRPr="000A4255">
        <w:rPr>
          <w:rFonts w:ascii="Alef" w:hAnsi="Alef" w:cs="Alef"/>
          <w:sz w:val="22"/>
          <w:szCs w:val="22"/>
          <w:rtl/>
        </w:rPr>
        <w:t xml:space="preserve">במסגרת מתווה הגז </w:t>
      </w:r>
      <w:r w:rsidR="00B73E2B" w:rsidRPr="000A4255">
        <w:rPr>
          <w:rFonts w:ascii="Alef" w:hAnsi="Alef" w:cs="Alef"/>
          <w:sz w:val="22"/>
          <w:szCs w:val="22"/>
          <w:rtl/>
        </w:rPr>
        <w:t xml:space="preserve">לא אולצו רציו ודלק קידוחים להיפרד </w:t>
      </w:r>
      <w:r w:rsidR="00DA7F9A" w:rsidRPr="000A4255">
        <w:rPr>
          <w:rFonts w:ascii="Alef" w:hAnsi="Alef" w:cs="Alef"/>
          <w:sz w:val="22"/>
          <w:szCs w:val="22"/>
          <w:rtl/>
        </w:rPr>
        <w:t>זאת מזאת</w:t>
      </w:r>
      <w:r w:rsidR="00B73E2B" w:rsidRPr="000A4255">
        <w:rPr>
          <w:rFonts w:ascii="Alef" w:hAnsi="Alef" w:cs="Alef"/>
          <w:sz w:val="22"/>
          <w:szCs w:val="22"/>
          <w:rtl/>
        </w:rPr>
        <w:t xml:space="preserve">, ואף לא אולצו לוותר על האופציה של כניסת דלק קידוחים לרישיון רועי. משכך, טוענים הצדדים, אי אישור ההסדר ביניהם עומד בסתירה למתווה הגז. </w:t>
      </w:r>
      <w:r w:rsidR="000F2D31" w:rsidRPr="000A4255">
        <w:rPr>
          <w:rFonts w:ascii="Alef" w:hAnsi="Alef" w:cs="Alef"/>
          <w:sz w:val="22"/>
          <w:szCs w:val="22"/>
          <w:rtl/>
        </w:rPr>
        <w:t>ואולם, אינני שותפה לטענתם זו.</w:t>
      </w:r>
      <w:r w:rsidR="00DA7F9A" w:rsidRPr="000A4255">
        <w:rPr>
          <w:rFonts w:ascii="Alef" w:hAnsi="Alef" w:cs="Alef"/>
          <w:sz w:val="22"/>
          <w:szCs w:val="22"/>
          <w:rtl/>
        </w:rPr>
        <w:t xml:space="preserve"> מתווה הגז לא התיימר להסדיר כל התפתחות חדשה במשק הגז ומתווה הגז אינו מגלם בתוכו הבנה כי לעולם יורשו דלק</w:t>
      </w:r>
      <w:r w:rsidR="0080711A" w:rsidRPr="000A4255">
        <w:rPr>
          <w:rFonts w:ascii="Alef" w:hAnsi="Alef" w:cs="Alef"/>
          <w:sz w:val="22"/>
          <w:szCs w:val="22"/>
          <w:rtl/>
        </w:rPr>
        <w:t xml:space="preserve"> קידוחים</w:t>
      </w:r>
      <w:r w:rsidR="00DA7F9A" w:rsidRPr="000A4255">
        <w:rPr>
          <w:rFonts w:ascii="Alef" w:hAnsi="Alef" w:cs="Alef"/>
          <w:sz w:val="22"/>
          <w:szCs w:val="22"/>
          <w:rtl/>
        </w:rPr>
        <w:t xml:space="preserve"> ורציו לחבור זאת לזאת. </w:t>
      </w:r>
      <w:r w:rsidR="000F2D31" w:rsidRPr="000A4255">
        <w:rPr>
          <w:rFonts w:ascii="Alef" w:hAnsi="Alef" w:cs="Alef"/>
          <w:sz w:val="22"/>
          <w:szCs w:val="22"/>
          <w:rtl/>
        </w:rPr>
        <w:t xml:space="preserve"> </w:t>
      </w:r>
    </w:p>
    <w:p w14:paraId="344D465F" w14:textId="79EDB704" w:rsidR="00380C33" w:rsidRPr="000A4255" w:rsidRDefault="00380C33" w:rsidP="000A4255">
      <w:pPr>
        <w:bidi/>
        <w:spacing w:before="100" w:beforeAutospacing="1" w:after="100" w:afterAutospacing="1" w:line="276" w:lineRule="auto"/>
        <w:jc w:val="both"/>
        <w:rPr>
          <w:rFonts w:ascii="Alef" w:hAnsi="Alef" w:cs="Alef"/>
          <w:sz w:val="22"/>
          <w:szCs w:val="22"/>
          <w:rtl/>
        </w:rPr>
      </w:pPr>
      <w:r w:rsidRPr="000A4255">
        <w:rPr>
          <w:rFonts w:ascii="Alef" w:hAnsi="Alef" w:cs="Alef"/>
          <w:sz w:val="22"/>
          <w:szCs w:val="22"/>
          <w:rtl/>
        </w:rPr>
        <w:t>משאלו הם פני הדברים ונוכח החששות התחרותיים שההסדר מעלה, אין אני סבורה כי ההסדר שהובא לפניי אינו מגביל את התחרות בחלק ניכר של השוק המושפע ממנו, או כי עיקרו אינו בהפחתת התחרות או מניעתה. מצאתי לנכון אפוא שאין ההסדר ראוי למתן פטור לפי סעיף 14 לחוק.</w:t>
      </w:r>
    </w:p>
    <w:p w14:paraId="4645F8A6" w14:textId="77777777" w:rsidR="00380C33" w:rsidRPr="000A4255" w:rsidRDefault="00380C33" w:rsidP="000A4255">
      <w:pPr>
        <w:pStyle w:val="Heading1"/>
        <w:numPr>
          <w:ilvl w:val="0"/>
          <w:numId w:val="1"/>
        </w:numPr>
        <w:bidi/>
        <w:spacing w:before="100" w:beforeAutospacing="1" w:after="100" w:afterAutospacing="1" w:line="276" w:lineRule="auto"/>
        <w:ind w:right="720"/>
        <w:jc w:val="both"/>
        <w:rPr>
          <w:rFonts w:ascii="Alef" w:eastAsia="Times New Roman" w:hAnsi="Alef" w:cs="Alef"/>
          <w:b/>
          <w:bCs/>
          <w:kern w:val="36"/>
          <w:sz w:val="20"/>
          <w:szCs w:val="22"/>
          <w:rtl/>
        </w:rPr>
      </w:pPr>
      <w:r w:rsidRPr="000A4255">
        <w:rPr>
          <w:rFonts w:ascii="Alef" w:eastAsia="Times New Roman" w:hAnsi="Alef" w:cs="Alef"/>
          <w:b/>
          <w:bCs/>
          <w:kern w:val="36"/>
          <w:sz w:val="20"/>
          <w:szCs w:val="22"/>
          <w:rtl/>
        </w:rPr>
        <w:t>סוף דבר</w:t>
      </w:r>
    </w:p>
    <w:p w14:paraId="0560DE23" w14:textId="77777777" w:rsidR="00380C33" w:rsidRPr="000A4255" w:rsidRDefault="00380C33" w:rsidP="000A4255">
      <w:pPr>
        <w:shd w:val="clear" w:color="auto" w:fill="FFFFFF"/>
        <w:bidi/>
        <w:spacing w:before="100" w:beforeAutospacing="1" w:after="100" w:afterAutospacing="1" w:line="276" w:lineRule="auto"/>
        <w:jc w:val="both"/>
        <w:rPr>
          <w:rFonts w:ascii="Alef" w:hAnsi="Alef" w:cs="Alef"/>
          <w:sz w:val="20"/>
          <w:szCs w:val="22"/>
          <w:rtl/>
        </w:rPr>
      </w:pPr>
      <w:r w:rsidRPr="000A4255">
        <w:rPr>
          <w:rFonts w:ascii="Alef" w:hAnsi="Alef" w:cs="Alef"/>
          <w:sz w:val="20"/>
          <w:szCs w:val="22"/>
          <w:rtl/>
        </w:rPr>
        <w:t>לאחר שנועצתי עם הוועדה לפטורים ולמיזוגים, ראיתי לנכון שלא להשתמש בסמכות הנתונה לי בסעיף 14 לחוק התחרות ולא להעניק את הפטור המבוקש.</w:t>
      </w:r>
      <w:r w:rsidRPr="000A4255">
        <w:rPr>
          <w:rFonts w:ascii="Alef" w:hAnsi="Alef" w:cs="Alef"/>
          <w:b/>
          <w:bCs/>
          <w:rtl/>
        </w:rPr>
        <w:tab/>
      </w:r>
    </w:p>
    <w:p w14:paraId="7036926B" w14:textId="77777777" w:rsidR="00380C33" w:rsidRPr="000A4255" w:rsidRDefault="00380C33" w:rsidP="000A4255">
      <w:pPr>
        <w:shd w:val="clear" w:color="auto" w:fill="FFFFFF"/>
        <w:bidi/>
        <w:spacing w:before="100" w:beforeAutospacing="1" w:after="100" w:afterAutospacing="1" w:line="276" w:lineRule="auto"/>
        <w:ind w:left="360"/>
        <w:jc w:val="both"/>
        <w:rPr>
          <w:rFonts w:ascii="Alef" w:hAnsi="Alef" w:cs="Alef"/>
          <w:sz w:val="20"/>
          <w:szCs w:val="22"/>
          <w:rtl/>
        </w:rPr>
      </w:pPr>
    </w:p>
    <w:p w14:paraId="789C0B6D" w14:textId="77777777" w:rsidR="00380C33" w:rsidRPr="000A4255" w:rsidRDefault="00380C33" w:rsidP="000A4255">
      <w:pPr>
        <w:bidi/>
        <w:spacing w:before="100" w:beforeAutospacing="1" w:after="100" w:afterAutospacing="1" w:line="276" w:lineRule="auto"/>
        <w:ind w:left="5400" w:firstLine="360"/>
        <w:jc w:val="both"/>
        <w:rPr>
          <w:rFonts w:ascii="Alef" w:hAnsi="Alef" w:cs="Alef"/>
          <w:sz w:val="22"/>
          <w:szCs w:val="22"/>
          <w:rtl/>
        </w:rPr>
      </w:pPr>
      <w:r w:rsidRPr="000A4255">
        <w:rPr>
          <w:rFonts w:ascii="Alef" w:hAnsi="Alef" w:cs="Alef"/>
          <w:sz w:val="22"/>
          <w:szCs w:val="22"/>
          <w:rtl/>
        </w:rPr>
        <w:lastRenderedPageBreak/>
        <w:t>מיכל הלפרין</w:t>
      </w:r>
    </w:p>
    <w:p w14:paraId="156F5ED8" w14:textId="77777777" w:rsidR="00380C33" w:rsidRPr="000A4255" w:rsidRDefault="00380C33" w:rsidP="000A4255">
      <w:pPr>
        <w:bidi/>
        <w:spacing w:before="100" w:beforeAutospacing="1" w:after="100" w:afterAutospacing="1" w:line="276" w:lineRule="auto"/>
        <w:ind w:left="360"/>
        <w:jc w:val="both"/>
        <w:rPr>
          <w:rFonts w:ascii="Alef" w:hAnsi="Alef" w:cs="Alef"/>
          <w:sz w:val="22"/>
          <w:szCs w:val="22"/>
          <w:rtl/>
        </w:rPr>
      </w:pPr>
      <w:r w:rsidRPr="000A4255">
        <w:rPr>
          <w:rFonts w:ascii="Alef" w:hAnsi="Alef" w:cs="Alef"/>
          <w:sz w:val="22"/>
          <w:szCs w:val="22"/>
          <w:rtl/>
        </w:rPr>
        <w:tab/>
      </w:r>
      <w:r w:rsidRPr="000A4255">
        <w:rPr>
          <w:rFonts w:ascii="Alef" w:hAnsi="Alef" w:cs="Alef"/>
          <w:sz w:val="22"/>
          <w:szCs w:val="22"/>
          <w:rtl/>
        </w:rPr>
        <w:tab/>
      </w:r>
      <w:r w:rsidRPr="000A4255">
        <w:rPr>
          <w:rFonts w:ascii="Alef" w:hAnsi="Alef" w:cs="Alef"/>
          <w:sz w:val="22"/>
          <w:szCs w:val="22"/>
          <w:rtl/>
        </w:rPr>
        <w:tab/>
      </w:r>
      <w:r w:rsidRPr="000A4255">
        <w:rPr>
          <w:rFonts w:ascii="Alef" w:hAnsi="Alef" w:cs="Alef"/>
          <w:sz w:val="22"/>
          <w:szCs w:val="22"/>
          <w:rtl/>
        </w:rPr>
        <w:tab/>
      </w:r>
      <w:r w:rsidRPr="000A4255">
        <w:rPr>
          <w:rFonts w:ascii="Alef" w:hAnsi="Alef" w:cs="Alef"/>
          <w:sz w:val="22"/>
          <w:szCs w:val="22"/>
          <w:rtl/>
        </w:rPr>
        <w:tab/>
      </w:r>
      <w:r w:rsidRPr="000A4255">
        <w:rPr>
          <w:rFonts w:ascii="Alef" w:hAnsi="Alef" w:cs="Alef"/>
          <w:sz w:val="22"/>
          <w:szCs w:val="22"/>
          <w:rtl/>
        </w:rPr>
        <w:tab/>
      </w:r>
      <w:r w:rsidRPr="000A4255">
        <w:rPr>
          <w:rFonts w:ascii="Alef" w:hAnsi="Alef" w:cs="Alef"/>
          <w:sz w:val="22"/>
          <w:szCs w:val="22"/>
          <w:rtl/>
        </w:rPr>
        <w:tab/>
        <w:t xml:space="preserve">        הממונה על התחרות</w:t>
      </w:r>
    </w:p>
    <w:p w14:paraId="6C963CE3" w14:textId="77777777" w:rsidR="00380C33" w:rsidRPr="000A4255" w:rsidRDefault="00380C33" w:rsidP="000A4255">
      <w:pPr>
        <w:bidi/>
        <w:spacing w:before="100" w:beforeAutospacing="1" w:after="100" w:afterAutospacing="1" w:line="276" w:lineRule="auto"/>
        <w:ind w:left="360"/>
        <w:jc w:val="both"/>
        <w:rPr>
          <w:rFonts w:ascii="Alef" w:hAnsi="Alef" w:cs="Alef"/>
          <w:sz w:val="22"/>
          <w:szCs w:val="22"/>
          <w:rtl/>
        </w:rPr>
      </w:pPr>
    </w:p>
    <w:p w14:paraId="72B21353" w14:textId="77777777" w:rsidR="007A31A2" w:rsidRPr="000A4255" w:rsidRDefault="007A31A2" w:rsidP="000A4255">
      <w:pPr>
        <w:bidi/>
        <w:spacing w:before="100" w:beforeAutospacing="1" w:after="100" w:afterAutospacing="1" w:line="276" w:lineRule="auto"/>
        <w:ind w:left="360"/>
        <w:jc w:val="both"/>
        <w:rPr>
          <w:rFonts w:ascii="Alef" w:hAnsi="Alef" w:cs="Alef"/>
          <w:sz w:val="22"/>
          <w:szCs w:val="22"/>
          <w:rtl/>
        </w:rPr>
      </w:pPr>
    </w:p>
    <w:p w14:paraId="1EF410B6" w14:textId="3E020AB5" w:rsidR="00380C33" w:rsidRPr="000A4255" w:rsidRDefault="00F910DE" w:rsidP="000A4255">
      <w:pPr>
        <w:bidi/>
        <w:spacing w:line="276" w:lineRule="auto"/>
        <w:ind w:left="357"/>
        <w:jc w:val="both"/>
        <w:rPr>
          <w:rFonts w:ascii="Alef" w:hAnsi="Alef" w:cs="Alef"/>
          <w:sz w:val="22"/>
          <w:szCs w:val="22"/>
          <w:rtl/>
        </w:rPr>
      </w:pPr>
      <w:r w:rsidRPr="000A4255">
        <w:rPr>
          <w:rFonts w:ascii="Alef" w:hAnsi="Alef" w:cs="Alef"/>
          <w:sz w:val="22"/>
          <w:szCs w:val="22"/>
          <w:rtl/>
        </w:rPr>
        <w:t>ירושלים, כ"ה</w:t>
      </w:r>
      <w:r w:rsidR="007E6134" w:rsidRPr="000A4255">
        <w:rPr>
          <w:rFonts w:ascii="Alef" w:hAnsi="Alef" w:cs="Alef"/>
          <w:sz w:val="22"/>
          <w:szCs w:val="22"/>
          <w:rtl/>
        </w:rPr>
        <w:t xml:space="preserve"> בתמוז</w:t>
      </w:r>
      <w:r w:rsidR="00380C33" w:rsidRPr="000A4255">
        <w:rPr>
          <w:rFonts w:ascii="Alef" w:hAnsi="Alef" w:cs="Alef"/>
          <w:sz w:val="22"/>
          <w:szCs w:val="22"/>
          <w:rtl/>
        </w:rPr>
        <w:t xml:space="preserve"> התשע"ט</w:t>
      </w:r>
    </w:p>
    <w:p w14:paraId="053B5ED7" w14:textId="6983CFF0" w:rsidR="004871CF" w:rsidRPr="000A4255" w:rsidRDefault="00F910DE" w:rsidP="000A4255">
      <w:pPr>
        <w:bidi/>
        <w:spacing w:line="276" w:lineRule="auto"/>
        <w:ind w:left="357"/>
        <w:jc w:val="both"/>
        <w:rPr>
          <w:rFonts w:ascii="Alef" w:hAnsi="Alef" w:cs="Alef"/>
          <w:sz w:val="22"/>
          <w:szCs w:val="22"/>
          <w:rtl/>
        </w:rPr>
      </w:pPr>
      <w:r w:rsidRPr="000A4255">
        <w:rPr>
          <w:rFonts w:ascii="Alef" w:hAnsi="Alef" w:cs="Alef"/>
          <w:sz w:val="22"/>
          <w:szCs w:val="22"/>
          <w:rtl/>
        </w:rPr>
        <w:t>28</w:t>
      </w:r>
      <w:r w:rsidR="007E6134" w:rsidRPr="000A4255">
        <w:rPr>
          <w:rFonts w:ascii="Alef" w:hAnsi="Alef" w:cs="Alef"/>
          <w:sz w:val="22"/>
          <w:szCs w:val="22"/>
          <w:rtl/>
        </w:rPr>
        <w:t xml:space="preserve"> ביולי</w:t>
      </w:r>
      <w:r w:rsidR="00380C33" w:rsidRPr="000A4255">
        <w:rPr>
          <w:rFonts w:ascii="Alef" w:hAnsi="Alef" w:cs="Alef"/>
          <w:sz w:val="22"/>
          <w:szCs w:val="22"/>
          <w:rtl/>
        </w:rPr>
        <w:t>, 2019</w:t>
      </w:r>
    </w:p>
    <w:sectPr w:rsidR="004871CF" w:rsidRPr="000A4255"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DBF38" w14:textId="77777777" w:rsidR="0054163E" w:rsidRDefault="0054163E" w:rsidP="00D828DB">
      <w:r>
        <w:separator/>
      </w:r>
    </w:p>
  </w:endnote>
  <w:endnote w:type="continuationSeparator" w:id="0">
    <w:p w14:paraId="2B013260" w14:textId="77777777" w:rsidR="0054163E" w:rsidRDefault="0054163E" w:rsidP="00D8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686708"/>
      <w:docPartObj>
        <w:docPartGallery w:val="Page Numbers (Bottom of Page)"/>
        <w:docPartUnique/>
      </w:docPartObj>
    </w:sdtPr>
    <w:sdtEndPr/>
    <w:sdtContent>
      <w:p w14:paraId="2868431A" w14:textId="460D5F5B" w:rsidR="00DB561F" w:rsidRDefault="002E009F" w:rsidP="00DB561F">
        <w:pPr>
          <w:pStyle w:val="Footer"/>
          <w:jc w:val="center"/>
          <w:rPr>
            <w:noProof/>
          </w:rPr>
        </w:pPr>
        <w:r>
          <w:fldChar w:fldCharType="begin"/>
        </w:r>
        <w:r>
          <w:instrText xml:space="preserve"> PAGE   \* MERGEFORMAT </w:instrText>
        </w:r>
        <w:r>
          <w:fldChar w:fldCharType="separate"/>
        </w:r>
        <w:r w:rsidR="008954C5">
          <w:rPr>
            <w:noProof/>
          </w:rPr>
          <w:t>1</w:t>
        </w:r>
        <w:r>
          <w:rPr>
            <w:noProof/>
          </w:rPr>
          <w:fldChar w:fldCharType="end"/>
        </w:r>
      </w:p>
      <w:p w14:paraId="0D433A76" w14:textId="59E9E648" w:rsidR="002E009F" w:rsidRDefault="00DB561F" w:rsidP="00DB561F">
        <w:pPr>
          <w:pStyle w:val="Footer"/>
          <w:jc w:val="center"/>
        </w:pPr>
        <w:r>
          <w:rPr>
            <w:noProof/>
          </w:rPr>
          <w:drawing>
            <wp:anchor distT="0" distB="0" distL="114300" distR="114300" simplePos="0" relativeHeight="251661312" behindDoc="1" locked="0" layoutInCell="1" allowOverlap="1" wp14:anchorId="0C0A1925" wp14:editId="1CB8C347">
              <wp:simplePos x="0" y="0"/>
              <wp:positionH relativeFrom="page">
                <wp:align>right</wp:align>
              </wp:positionH>
              <wp:positionV relativeFrom="bottomMargin">
                <wp:posOffset>436129</wp:posOffset>
              </wp:positionV>
              <wp:extent cx="7585710" cy="1047750"/>
              <wp:effectExtent l="0" t="0" r="0" b="0"/>
              <wp:wrapNone/>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דף פירמה עיצוב שני_דף פירמה חדש copy.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710" cy="1047750"/>
                      </a:xfrm>
                      <a:prstGeom prst="rect">
                        <a:avLst/>
                      </a:prstGeom>
                    </pic:spPr>
                  </pic:pic>
                </a:graphicData>
              </a:graphic>
              <wp14:sizeRelH relativeFrom="page">
                <wp14:pctWidth>0</wp14:pctWidth>
              </wp14:sizeRelH>
              <wp14:sizeRelV relativeFrom="page">
                <wp14:pctHeight>0</wp14:pctHeight>
              </wp14:sizeRelV>
            </wp:anchor>
          </w:drawing>
        </w:r>
      </w:p>
    </w:sdtContent>
  </w:sdt>
  <w:p w14:paraId="0A7F73CC" w14:textId="7AE4A713" w:rsidR="00D828DB" w:rsidRDefault="00D828DB" w:rsidP="00091066">
    <w:pPr>
      <w:pStyle w:val="Footer"/>
    </w:pPr>
  </w:p>
  <w:p w14:paraId="139A2523" w14:textId="5DC0D629" w:rsidR="00DB561F" w:rsidRDefault="00DB561F" w:rsidP="00091066">
    <w:pPr>
      <w:pStyle w:val="Footer"/>
    </w:pPr>
  </w:p>
  <w:p w14:paraId="49E4BFE1" w14:textId="77777777" w:rsidR="00DB561F" w:rsidRDefault="00DB561F" w:rsidP="00091066">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F4351" w14:textId="77777777" w:rsidR="0054163E" w:rsidRDefault="0054163E" w:rsidP="00D828DB">
      <w:r>
        <w:separator/>
      </w:r>
    </w:p>
  </w:footnote>
  <w:footnote w:type="continuationSeparator" w:id="0">
    <w:p w14:paraId="02006CB8" w14:textId="77777777" w:rsidR="0054163E" w:rsidRDefault="0054163E" w:rsidP="00D828DB">
      <w:r>
        <w:continuationSeparator/>
      </w:r>
    </w:p>
  </w:footnote>
  <w:footnote w:id="1">
    <w:p w14:paraId="1AD6CFED" w14:textId="7D1748CC"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בנוסף, בהתאם למתווה הגז, דלק קידוחים מכרה את אחזקותיה במאגרי כריש ותנין לאנרג'יאן. כחלק מהעסקה היא עתידה לקבל תמלוגים בהיקף של 7.5% לפני תשלום היטל על רווחי נפט ו-8.25% לאחר תשלום היטל על רווחי נפט מהמכירות של כריש ותנין.</w:t>
      </w:r>
    </w:p>
  </w:footnote>
  <w:footnote w:id="2">
    <w:p w14:paraId="3DF37417" w14:textId="64857E65" w:rsidR="00380C33" w:rsidRPr="000A4255" w:rsidRDefault="00380C33" w:rsidP="000A4255">
      <w:pPr>
        <w:pStyle w:val="FootnoteText"/>
        <w:bidi/>
        <w:jc w:val="both"/>
        <w:rPr>
          <w:rFonts w:ascii="Alef" w:hAnsi="Alef" w:cs="Alef"/>
          <w:sz w:val="22"/>
          <w:szCs w:val="22"/>
          <w:rtl/>
        </w:rPr>
      </w:pPr>
      <w:r w:rsidRPr="000A4255">
        <w:rPr>
          <w:rStyle w:val="FootnoteReference"/>
          <w:rFonts w:ascii="Alef" w:hAnsi="Alef" w:cs="Alef"/>
          <w:sz w:val="18"/>
          <w:szCs w:val="18"/>
        </w:rPr>
        <w:footnoteRef/>
      </w:r>
      <w:r w:rsidRPr="000A4255">
        <w:rPr>
          <w:rFonts w:ascii="Alef" w:hAnsi="Alef" w:cs="Alef"/>
          <w:sz w:val="22"/>
          <w:szCs w:val="22"/>
        </w:rPr>
        <w:t xml:space="preserve"> </w:t>
      </w:r>
      <w:r w:rsidRPr="000A4255">
        <w:rPr>
          <w:rFonts w:ascii="Alef" w:hAnsi="Alef" w:cs="Alef"/>
          <w:sz w:val="18"/>
          <w:szCs w:val="18"/>
          <w:rtl/>
        </w:rPr>
        <w:t>ראו החלטת הממונה בדבר קיום מונופולין:</w:t>
      </w:r>
      <w:r w:rsidRPr="000A4255">
        <w:rPr>
          <w:rFonts w:ascii="Alef" w:hAnsi="Alef" w:cs="Alef"/>
          <w:sz w:val="18"/>
          <w:szCs w:val="18"/>
        </w:rPr>
        <w:t xml:space="preserve"> </w:t>
      </w:r>
      <w:r w:rsidRPr="000A4255">
        <w:rPr>
          <w:rFonts w:ascii="Alef" w:hAnsi="Alef" w:cs="Alef"/>
          <w:sz w:val="18"/>
          <w:szCs w:val="18"/>
          <w:rtl/>
        </w:rPr>
        <w:t xml:space="preserve">דלק קידוחים שותפות מוגבלת יחד עם אבנר חיפושי גז ונפט שותפות מוגבלת, </w:t>
      </w:r>
      <w:r w:rsidRPr="000A4255">
        <w:rPr>
          <w:rFonts w:ascii="Alef" w:hAnsi="Alef" w:cs="Alef"/>
          <w:sz w:val="18"/>
          <w:szCs w:val="18"/>
        </w:rPr>
        <w:t>Noble Energy Mediterranean</w:t>
      </w:r>
      <w:r w:rsidRPr="000A4255">
        <w:rPr>
          <w:rFonts w:ascii="Alef" w:hAnsi="Alef" w:cs="Alef"/>
          <w:sz w:val="18"/>
          <w:szCs w:val="18"/>
          <w:rtl/>
        </w:rPr>
        <w:t xml:space="preserve">, ישראמקו נגב 2 שותפות מוגבלת ודור חיפושי גז שותפות מוגבלת </w:t>
      </w:r>
      <w:r w:rsidR="00FE39C1" w:rsidRPr="000A4255">
        <w:rPr>
          <w:rFonts w:ascii="Alef" w:hAnsi="Alef" w:cs="Alef"/>
          <w:b/>
          <w:bCs/>
          <w:sz w:val="18"/>
          <w:szCs w:val="18"/>
          <w:rtl/>
        </w:rPr>
        <w:t>רשות התחרות</w:t>
      </w:r>
      <w:r w:rsidRPr="000A4255">
        <w:rPr>
          <w:rFonts w:ascii="Alef" w:hAnsi="Alef" w:cs="Alef"/>
          <w:sz w:val="18"/>
          <w:szCs w:val="18"/>
          <w:rtl/>
        </w:rPr>
        <w:t xml:space="preserve"> 500249</w:t>
      </w:r>
      <w:r w:rsidR="00C2310C" w:rsidRPr="000A4255">
        <w:rPr>
          <w:rFonts w:ascii="Alef" w:hAnsi="Alef" w:cs="Alef"/>
          <w:sz w:val="18"/>
          <w:szCs w:val="18"/>
          <w:rtl/>
        </w:rPr>
        <w:t>, 13.11.2012</w:t>
      </w:r>
      <w:r w:rsidR="009C0D53" w:rsidRPr="000A4255">
        <w:rPr>
          <w:rFonts w:ascii="Alef" w:hAnsi="Alef" w:cs="Alef"/>
          <w:sz w:val="18"/>
          <w:szCs w:val="18"/>
          <w:rtl/>
        </w:rPr>
        <w:t>.</w:t>
      </w:r>
    </w:p>
  </w:footnote>
  <w:footnote w:id="3">
    <w:p w14:paraId="3FB96AA6" w14:textId="77777777" w:rsidR="00380C33" w:rsidRPr="000A4255" w:rsidRDefault="00380C33" w:rsidP="000A4255">
      <w:pPr>
        <w:pStyle w:val="FootnoteText"/>
        <w:bidi/>
        <w:jc w:val="both"/>
        <w:rPr>
          <w:rFonts w:ascii="Alef" w:hAnsi="Alef" w:cs="Alef"/>
          <w:sz w:val="20"/>
          <w:szCs w:val="20"/>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קבוצת דלק בע"מ, בעלת השליטה בדלק, מחזיקה ב-17.5% ממניות רציו פטרוליום – שותפות מוגבלת.</w:t>
      </w:r>
    </w:p>
  </w:footnote>
  <w:footnote w:id="4">
    <w:p w14:paraId="473D4968" w14:textId="3F38D353"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009668CA" w:rsidRPr="000A4255">
        <w:rPr>
          <w:rFonts w:ascii="Alef" w:hAnsi="Alef" w:cs="Alef"/>
          <w:sz w:val="18"/>
          <w:szCs w:val="18"/>
          <w:rtl/>
        </w:rPr>
        <w:t>הודעת אנרג'יאין לבורסה לניירות ערך בעניין "</w:t>
      </w:r>
      <w:r w:rsidR="009668CA" w:rsidRPr="000A4255">
        <w:rPr>
          <w:rFonts w:ascii="Alef" w:hAnsi="Alef" w:cs="Alef"/>
          <w:sz w:val="18"/>
          <w:szCs w:val="18"/>
        </w:rPr>
        <w:t>Energean Oil &amp; Gas plc (“Energean” or the “Company”)</w:t>
      </w:r>
      <w:r w:rsidR="009668CA" w:rsidRPr="000A4255">
        <w:rPr>
          <w:rFonts w:ascii="Alef" w:hAnsi="Alef" w:cs="Alef"/>
          <w:sz w:val="18"/>
          <w:szCs w:val="18"/>
          <w:rtl/>
        </w:rPr>
        <w:t xml:space="preserve"> </w:t>
      </w:r>
      <w:r w:rsidR="009668CA" w:rsidRPr="000A4255">
        <w:rPr>
          <w:rFonts w:ascii="Alef" w:hAnsi="Alef" w:cs="Alef"/>
          <w:sz w:val="18"/>
          <w:szCs w:val="18"/>
        </w:rPr>
        <w:t>Proposed Acquisition of Edison E&amp;P</w:t>
      </w:r>
      <w:r w:rsidR="009668CA" w:rsidRPr="000A4255">
        <w:rPr>
          <w:rFonts w:ascii="Alef" w:hAnsi="Alef" w:cs="Alef"/>
          <w:sz w:val="18"/>
          <w:szCs w:val="18"/>
          <w:rtl/>
        </w:rPr>
        <w:t xml:space="preserve"> </w:t>
      </w:r>
      <w:r w:rsidR="009668CA" w:rsidRPr="000A4255">
        <w:rPr>
          <w:rFonts w:ascii="Alef" w:hAnsi="Alef" w:cs="Alef"/>
          <w:sz w:val="18"/>
          <w:szCs w:val="18"/>
        </w:rPr>
        <w:t>Placing of New Ordinary Shares to raise up to US$265 million</w:t>
      </w:r>
      <w:r w:rsidR="000D373A" w:rsidRPr="000A4255">
        <w:rPr>
          <w:rFonts w:ascii="Alef" w:hAnsi="Alef" w:cs="Alef"/>
          <w:sz w:val="18"/>
          <w:szCs w:val="18"/>
          <w:rtl/>
        </w:rPr>
        <w:t xml:space="preserve">" מיום 4.7.19, </w:t>
      </w:r>
      <w:r w:rsidRPr="000A4255">
        <w:rPr>
          <w:rFonts w:ascii="Alef" w:hAnsi="Alef" w:cs="Alef"/>
          <w:sz w:val="18"/>
          <w:szCs w:val="18"/>
          <w:rtl/>
        </w:rPr>
        <w:t xml:space="preserve">ראו קישור: </w:t>
      </w:r>
      <w:hyperlink r:id="rId1" w:history="1">
        <w:r w:rsidRPr="000A4255">
          <w:rPr>
            <w:rStyle w:val="Hyperlink"/>
            <w:rFonts w:ascii="Alef" w:hAnsi="Alef" w:cs="Alef"/>
            <w:sz w:val="18"/>
            <w:szCs w:val="18"/>
          </w:rPr>
          <w:t>https://maya.tase.co.il/reports/details/1239614</w:t>
        </w:r>
      </w:hyperlink>
      <w:r w:rsidR="000D373A" w:rsidRPr="000A4255">
        <w:rPr>
          <w:rStyle w:val="Hyperlink"/>
          <w:rFonts w:ascii="Alef" w:hAnsi="Alef" w:cs="Alef"/>
          <w:sz w:val="18"/>
          <w:szCs w:val="18"/>
          <w:rtl/>
        </w:rPr>
        <w:t>.</w:t>
      </w:r>
    </w:p>
  </w:footnote>
  <w:footnote w:id="5">
    <w:p w14:paraId="1535F23A"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אודות חובות המפעיל ראו תקנות הנפט (עקרונות פעולה לחיפושי נפט והפקתו בים), תשע"ז – 2016.</w:t>
      </w:r>
    </w:p>
  </w:footnote>
  <w:footnote w:id="6">
    <w:p w14:paraId="519A4D92" w14:textId="77777777" w:rsidR="00380C33" w:rsidRPr="000A4255" w:rsidRDefault="00380C33" w:rsidP="000A4255">
      <w:pPr>
        <w:pStyle w:val="FootnoteText"/>
        <w:bidi/>
        <w:jc w:val="both"/>
        <w:rPr>
          <w:rFonts w:ascii="Alef" w:hAnsi="Alef" w:cs="Alef"/>
          <w:sz w:val="20"/>
          <w:szCs w:val="20"/>
          <w:highlight w:val="yellow"/>
          <w:vertAlign w:val="superscript"/>
          <w:rtl/>
        </w:rPr>
      </w:pPr>
      <w:r w:rsidRPr="000A4255">
        <w:rPr>
          <w:rStyle w:val="FootnoteReference"/>
          <w:rFonts w:ascii="Alef" w:hAnsi="Alef" w:cs="Alef"/>
          <w:sz w:val="20"/>
          <w:szCs w:val="20"/>
        </w:rPr>
        <w:footnoteRef/>
      </w:r>
      <w:r w:rsidRPr="000A4255">
        <w:rPr>
          <w:rFonts w:ascii="Alef" w:hAnsi="Alef" w:cs="Alef"/>
          <w:sz w:val="20"/>
          <w:szCs w:val="20"/>
        </w:rPr>
        <w:t xml:space="preserve"> </w:t>
      </w:r>
      <w:r w:rsidRPr="000A4255">
        <w:rPr>
          <w:rFonts w:ascii="Alef" w:hAnsi="Alef" w:cs="Alef"/>
          <w:sz w:val="18"/>
          <w:szCs w:val="18"/>
          <w:rtl/>
        </w:rPr>
        <w:t>כפי שנסביר בהמשך, חוק הנפט מגביל את תקופת הרישיון ל-7 שנים, כל עוד לא בוצע קידוח ניסיון.</w:t>
      </w:r>
      <w:r w:rsidRPr="000A4255">
        <w:rPr>
          <w:rFonts w:ascii="Alef" w:hAnsi="Alef" w:cs="Alef"/>
          <w:sz w:val="20"/>
          <w:szCs w:val="20"/>
          <w:highlight w:val="yellow"/>
          <w:vertAlign w:val="superscript"/>
          <w:rtl/>
        </w:rPr>
        <w:t xml:space="preserve"> </w:t>
      </w:r>
    </w:p>
  </w:footnote>
  <w:footnote w:id="7">
    <w:p w14:paraId="521FC8C6" w14:textId="2A0DFA9B" w:rsidR="00946A18" w:rsidRPr="000A4255" w:rsidRDefault="00946A18" w:rsidP="000A4255">
      <w:pPr>
        <w:pStyle w:val="FootnoteText"/>
        <w:bidi/>
        <w:jc w:val="both"/>
        <w:rPr>
          <w:rStyle w:val="FootnoteReference"/>
          <w:rFonts w:ascii="Alef" w:hAnsi="Alef" w:cs="Alef"/>
          <w:sz w:val="18"/>
          <w:szCs w:val="18"/>
          <w:rtl/>
        </w:rPr>
      </w:pPr>
      <w:r w:rsidRPr="000A4255">
        <w:rPr>
          <w:rStyle w:val="FootnoteReference"/>
          <w:rFonts w:ascii="Alef" w:hAnsi="Alef" w:cs="Alef"/>
          <w:sz w:val="18"/>
          <w:szCs w:val="18"/>
        </w:rPr>
        <w:footnoteRef/>
      </w:r>
      <w:r w:rsidRPr="000A4255">
        <w:rPr>
          <w:rStyle w:val="FootnoteReference"/>
          <w:rFonts w:ascii="Alef" w:hAnsi="Alef" w:cs="Alef"/>
          <w:sz w:val="18"/>
          <w:szCs w:val="18"/>
        </w:rPr>
        <w:t xml:space="preserve"> </w:t>
      </w:r>
      <w:r w:rsidR="00C2310C" w:rsidRPr="000A4255">
        <w:rPr>
          <w:rFonts w:ascii="Alef" w:hAnsi="Alef" w:cs="Alef"/>
          <w:sz w:val="18"/>
          <w:szCs w:val="18"/>
          <w:rtl/>
        </w:rPr>
        <w:t xml:space="preserve">על פי תוצאות דוח הערכת המשאבים הפוטנציאליים שהוכן לרציו על ידי </w:t>
      </w:r>
      <w:r w:rsidR="00C2310C" w:rsidRPr="000A4255">
        <w:rPr>
          <w:rFonts w:ascii="Alef" w:hAnsi="Alef" w:cs="Alef"/>
          <w:sz w:val="18"/>
          <w:szCs w:val="18"/>
        </w:rPr>
        <w:t>NSAI</w:t>
      </w:r>
      <w:r w:rsidR="00C2310C" w:rsidRPr="000A4255">
        <w:rPr>
          <w:rFonts w:ascii="Alef" w:hAnsi="Alef" w:cs="Alef"/>
          <w:sz w:val="18"/>
          <w:szCs w:val="18"/>
          <w:rtl/>
        </w:rPr>
        <w:t>, מיום 25.5.2017. לפירוט ראו:</w:t>
      </w:r>
      <w:hyperlink r:id="rId2" w:history="1">
        <w:r w:rsidRPr="000A4255">
          <w:rPr>
            <w:rStyle w:val="Hyperlink"/>
            <w:rFonts w:ascii="Alef" w:hAnsi="Alef" w:cs="Alef"/>
            <w:sz w:val="18"/>
            <w:szCs w:val="18"/>
          </w:rPr>
          <w:t>https://www.ratioil.com/he/assets/royee/</w:t>
        </w:r>
      </w:hyperlink>
    </w:p>
  </w:footnote>
  <w:footnote w:id="8">
    <w:p w14:paraId="279EC437" w14:textId="3DBB6125" w:rsidR="00380C33" w:rsidRPr="000A4255" w:rsidRDefault="00380C33" w:rsidP="000A4255">
      <w:pPr>
        <w:pStyle w:val="FootnoteText"/>
        <w:bidi/>
        <w:jc w:val="both"/>
        <w:rPr>
          <w:rFonts w:ascii="Alef" w:hAnsi="Alef" w:cs="Alef"/>
          <w:sz w:val="18"/>
          <w:szCs w:val="18"/>
          <w:rtl/>
        </w:rPr>
      </w:pPr>
      <w:r w:rsidRPr="000A4255">
        <w:rPr>
          <w:rFonts w:ascii="Alef" w:hAnsi="Alef" w:cs="Alef"/>
          <w:sz w:val="18"/>
          <w:szCs w:val="18"/>
          <w:vertAlign w:val="superscript"/>
        </w:rPr>
        <w:footnoteRef/>
      </w:r>
      <w:r w:rsidRPr="000A4255">
        <w:rPr>
          <w:rFonts w:ascii="Alef" w:hAnsi="Alef" w:cs="Alef"/>
          <w:sz w:val="18"/>
          <w:szCs w:val="18"/>
        </w:rPr>
        <w:t xml:space="preserve"> </w:t>
      </w:r>
      <w:r w:rsidRPr="000A4255">
        <w:rPr>
          <w:rFonts w:ascii="Alef" w:hAnsi="Alef" w:cs="Alef"/>
          <w:sz w:val="18"/>
          <w:szCs w:val="18"/>
          <w:rtl/>
        </w:rPr>
        <w:t xml:space="preserve">ראו </w:t>
      </w:r>
      <w:r w:rsidR="00286A06" w:rsidRPr="000A4255">
        <w:rPr>
          <w:rFonts w:ascii="Alef" w:hAnsi="Alef" w:cs="Alef"/>
          <w:sz w:val="18"/>
          <w:szCs w:val="18"/>
          <w:rtl/>
        </w:rPr>
        <w:t>החלטה לפי סעיף 14 לחוק התחרות הכלכלית, התשמ"ח-1988 בדבר מתן פטור מאישור הסדר כובל הסדר בין</w:t>
      </w:r>
      <w:r w:rsidRPr="000A4255">
        <w:rPr>
          <w:rFonts w:ascii="Alef" w:hAnsi="Alef" w:cs="Alef"/>
          <w:sz w:val="18"/>
          <w:szCs w:val="18"/>
          <w:rtl/>
        </w:rPr>
        <w:t xml:space="preserve"> רציו, אדיסון והזדמנות ישראלית</w:t>
      </w:r>
      <w:r w:rsidR="00286A06" w:rsidRPr="000A4255">
        <w:rPr>
          <w:rFonts w:ascii="Alef" w:hAnsi="Alef" w:cs="Alef"/>
          <w:sz w:val="18"/>
          <w:szCs w:val="18"/>
          <w:rtl/>
        </w:rPr>
        <w:t xml:space="preserve"> 500377, </w:t>
      </w:r>
      <w:r w:rsidR="00FE39C1" w:rsidRPr="000A4255">
        <w:rPr>
          <w:rFonts w:ascii="Alef" w:hAnsi="Alef" w:cs="Alef"/>
          <w:b/>
          <w:bCs/>
          <w:sz w:val="18"/>
          <w:szCs w:val="18"/>
          <w:rtl/>
        </w:rPr>
        <w:t>רשות התחרות</w:t>
      </w:r>
      <w:r w:rsidRPr="000A4255">
        <w:rPr>
          <w:rFonts w:ascii="Alef" w:hAnsi="Alef" w:cs="Alef"/>
          <w:sz w:val="18"/>
          <w:szCs w:val="18"/>
          <w:rtl/>
        </w:rPr>
        <w:t xml:space="preserve"> </w:t>
      </w:r>
      <w:r w:rsidR="009C0D53" w:rsidRPr="000A4255">
        <w:rPr>
          <w:rFonts w:ascii="Alef" w:hAnsi="Alef" w:cs="Alef"/>
          <w:sz w:val="18"/>
          <w:szCs w:val="18"/>
          <w:rtl/>
        </w:rPr>
        <w:t>11.4.2013.</w:t>
      </w:r>
    </w:p>
  </w:footnote>
  <w:footnote w:id="9">
    <w:p w14:paraId="10DA3438"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20"/>
          <w:szCs w:val="20"/>
        </w:rPr>
        <w:footnoteRef/>
      </w:r>
      <w:r w:rsidRPr="000A4255">
        <w:rPr>
          <w:rFonts w:ascii="Alef" w:hAnsi="Alef" w:cs="Alef"/>
          <w:sz w:val="18"/>
          <w:szCs w:val="18"/>
          <w:rtl/>
        </w:rPr>
        <w:t xml:space="preserve"> רציו העניקה לאדיסון אופציה לרכישה של 20% (נוספים) מהזכויות ברישיון רועי, וזו האחרונה המחתה את האופציה לדלק קידוחים. בפועל, דלק קידוחים מעוניינת לממש את האופציה ולרכוש 4.99% נוספים מידי רציו.</w:t>
      </w:r>
    </w:p>
  </w:footnote>
  <w:footnote w:id="10">
    <w:p w14:paraId="1E1211B3" w14:textId="77777777" w:rsidR="00380C33" w:rsidRPr="000A4255" w:rsidRDefault="00380C33" w:rsidP="000A4255">
      <w:pPr>
        <w:pStyle w:val="FootnoteText"/>
        <w:bidi/>
        <w:jc w:val="both"/>
        <w:rPr>
          <w:rFonts w:ascii="Alef" w:hAnsi="Alef" w:cs="Alef"/>
          <w:sz w:val="20"/>
          <w:szCs w:val="20"/>
          <w:rtl/>
        </w:rPr>
      </w:pPr>
      <w:r w:rsidRPr="000A4255">
        <w:rPr>
          <w:rStyle w:val="FootnoteReference"/>
          <w:rFonts w:ascii="Alef" w:hAnsi="Alef" w:cs="Alef"/>
          <w:sz w:val="18"/>
          <w:szCs w:val="18"/>
        </w:rPr>
        <w:footnoteRef/>
      </w:r>
      <w:r w:rsidRPr="000A4255">
        <w:rPr>
          <w:rFonts w:ascii="Alef" w:hAnsi="Alef" w:cs="Alef"/>
          <w:sz w:val="22"/>
          <w:szCs w:val="22"/>
        </w:rPr>
        <w:t xml:space="preserve"> </w:t>
      </w:r>
      <w:r w:rsidRPr="000A4255">
        <w:rPr>
          <w:rFonts w:ascii="Alef" w:hAnsi="Alef" w:cs="Alef"/>
          <w:sz w:val="18"/>
          <w:szCs w:val="18"/>
          <w:rtl/>
        </w:rPr>
        <w:t>ראו החלטת ממשלה 2592 מתאריך 2.4.2017 בדבר עידוד מאגרי גז קטנים ובינוניים (</w:t>
      </w:r>
      <w:hyperlink r:id="rId3" w:history="1">
        <w:r w:rsidRPr="000A4255">
          <w:rPr>
            <w:rStyle w:val="Hyperlink"/>
            <w:rFonts w:ascii="Alef" w:hAnsi="Alef" w:cs="Alef"/>
            <w:sz w:val="18"/>
            <w:szCs w:val="18"/>
          </w:rPr>
          <w:t>https://www.gov.il/he/departments/policies/2017_dec2592</w:t>
        </w:r>
      </w:hyperlink>
      <w:r w:rsidRPr="000A4255">
        <w:rPr>
          <w:rFonts w:ascii="Alef" w:hAnsi="Alef" w:cs="Alef"/>
          <w:sz w:val="18"/>
          <w:szCs w:val="18"/>
          <w:rtl/>
        </w:rPr>
        <w:t>), וכן את החלטת ממשלה 3080 מתאריך 22.10.2017 בדבר האצת השימוש בגז טבעי בתעשייה וצמצום זיהום האוויר (</w:t>
      </w:r>
      <w:hyperlink r:id="rId4" w:history="1">
        <w:r w:rsidRPr="000A4255">
          <w:rPr>
            <w:rStyle w:val="Hyperlink"/>
            <w:rFonts w:ascii="Alef" w:hAnsi="Alef" w:cs="Alef"/>
            <w:sz w:val="18"/>
            <w:szCs w:val="18"/>
          </w:rPr>
          <w:t>https://www.gov.il/he/departments/policies/dec3080_2017</w:t>
        </w:r>
      </w:hyperlink>
      <w:r w:rsidRPr="000A4255">
        <w:rPr>
          <w:rFonts w:ascii="Alef" w:hAnsi="Alef" w:cs="Alef"/>
          <w:sz w:val="18"/>
          <w:szCs w:val="18"/>
          <w:rtl/>
        </w:rPr>
        <w:t xml:space="preserve">). </w:t>
      </w:r>
    </w:p>
  </w:footnote>
  <w:footnote w:id="11">
    <w:p w14:paraId="363DD333" w14:textId="77777777" w:rsidR="00380C33" w:rsidRPr="000A4255" w:rsidRDefault="00380C33" w:rsidP="000A4255">
      <w:pPr>
        <w:pStyle w:val="FootnoteText"/>
        <w:bidi/>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ראו סעיף 18 לחוק. </w:t>
      </w:r>
    </w:p>
  </w:footnote>
  <w:footnote w:id="12">
    <w:p w14:paraId="7CDC16D4" w14:textId="4792BCD1"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00A54B95" w:rsidRPr="000A4255">
        <w:rPr>
          <w:rFonts w:ascii="Alef" w:hAnsi="Alef" w:cs="Alef"/>
          <w:sz w:val="18"/>
          <w:szCs w:val="18"/>
          <w:rtl/>
        </w:rPr>
        <w:t xml:space="preserve">והיתר הם: </w:t>
      </w:r>
      <w:r w:rsidRPr="000A4255">
        <w:rPr>
          <w:rFonts w:ascii="Alef" w:hAnsi="Alef" w:cs="Alef"/>
          <w:sz w:val="18"/>
          <w:szCs w:val="18"/>
          <w:rtl/>
        </w:rPr>
        <w:t>רישיון "367</w:t>
      </w:r>
      <w:r w:rsidRPr="000A4255">
        <w:rPr>
          <w:rFonts w:ascii="Alef" w:hAnsi="Alef" w:cs="Alef"/>
          <w:sz w:val="18"/>
          <w:szCs w:val="18"/>
        </w:rPr>
        <w:t>/</w:t>
      </w:r>
      <w:r w:rsidRPr="000A4255">
        <w:rPr>
          <w:rFonts w:ascii="Alef" w:hAnsi="Alef" w:cs="Alef"/>
          <w:sz w:val="18"/>
          <w:szCs w:val="18"/>
          <w:rtl/>
        </w:rPr>
        <w:t>אלון"</w:t>
      </w:r>
      <w:r w:rsidR="009D6DE8" w:rsidRPr="000A4255">
        <w:rPr>
          <w:rFonts w:ascii="Alef" w:hAnsi="Alef" w:cs="Alef"/>
          <w:sz w:val="18"/>
          <w:szCs w:val="18"/>
          <w:rtl/>
        </w:rPr>
        <w:t xml:space="preserve"> שבחזקת דלק קידוחים</w:t>
      </w:r>
      <w:r w:rsidRPr="000A4255">
        <w:rPr>
          <w:rFonts w:ascii="Alef" w:hAnsi="Alef" w:cs="Alef"/>
          <w:sz w:val="18"/>
          <w:szCs w:val="18"/>
          <w:rtl/>
        </w:rPr>
        <w:t>, 6 רישיונות שהוענקו במסגרת ההליך התחרותי הראשון בשנת 2017, ועוד כ-</w:t>
      </w:r>
      <w:r w:rsidR="00A54B95" w:rsidRPr="000A4255">
        <w:rPr>
          <w:rFonts w:ascii="Alef" w:hAnsi="Alef" w:cs="Alef"/>
          <w:sz w:val="18"/>
          <w:szCs w:val="18"/>
          <w:rtl/>
        </w:rPr>
        <w:t>12</w:t>
      </w:r>
      <w:r w:rsidRPr="000A4255">
        <w:rPr>
          <w:rFonts w:ascii="Alef" w:hAnsi="Alef" w:cs="Alef"/>
          <w:sz w:val="18"/>
          <w:szCs w:val="18"/>
          <w:rtl/>
        </w:rPr>
        <w:t xml:space="preserve"> רישיונות שהוענ</w:t>
      </w:r>
      <w:r w:rsidR="00C52D5B" w:rsidRPr="000A4255">
        <w:rPr>
          <w:rFonts w:ascii="Alef" w:hAnsi="Alef" w:cs="Alef"/>
          <w:sz w:val="18"/>
          <w:szCs w:val="18"/>
          <w:rtl/>
        </w:rPr>
        <w:t xml:space="preserve">קו בהליך התחרותי השני בשנת 2019. </w:t>
      </w:r>
    </w:p>
  </w:footnote>
  <w:footnote w:id="13">
    <w:p w14:paraId="5D642D19" w14:textId="11671959" w:rsidR="00700A16" w:rsidRPr="000A4255" w:rsidRDefault="00373279"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Style w:val="FootnoteReference"/>
          <w:rFonts w:ascii="Alef" w:hAnsi="Alef" w:cs="Alef"/>
          <w:sz w:val="22"/>
          <w:szCs w:val="22"/>
        </w:rPr>
        <w:t xml:space="preserve"> </w:t>
      </w:r>
      <w:r w:rsidR="00700A16" w:rsidRPr="000A4255">
        <w:rPr>
          <w:rFonts w:ascii="Alef" w:hAnsi="Alef" w:cs="Alef"/>
          <w:sz w:val="18"/>
          <w:szCs w:val="18"/>
          <w:rtl/>
        </w:rPr>
        <w:t xml:space="preserve">ראו רשימת החזקות ורישיונות בקישור: </w:t>
      </w:r>
    </w:p>
    <w:p w14:paraId="650CD708" w14:textId="67230074" w:rsidR="00373279" w:rsidRPr="000A4255" w:rsidRDefault="008954C5" w:rsidP="000A4255">
      <w:pPr>
        <w:pStyle w:val="FootnoteText"/>
        <w:rPr>
          <w:rFonts w:ascii="Alef" w:hAnsi="Alef" w:cs="Alef"/>
          <w:sz w:val="18"/>
          <w:szCs w:val="18"/>
        </w:rPr>
      </w:pPr>
      <w:hyperlink r:id="rId5" w:history="1">
        <w:r w:rsidR="00700A16" w:rsidRPr="000A4255">
          <w:rPr>
            <w:rStyle w:val="Hyperlink"/>
            <w:rFonts w:ascii="Alef" w:hAnsi="Alef" w:cs="Alef"/>
            <w:sz w:val="18"/>
            <w:szCs w:val="18"/>
          </w:rPr>
          <w:t>https://www.gov.il/BlobFolder/news/offshore_bid_round_2/he/status_gas_fields.pdf</w:t>
        </w:r>
      </w:hyperlink>
    </w:p>
  </w:footnote>
  <w:footnote w:id="14">
    <w:p w14:paraId="2264B1E9" w14:textId="77777777" w:rsidR="00380C33" w:rsidRPr="000A4255" w:rsidRDefault="00380C33" w:rsidP="000A4255">
      <w:pPr>
        <w:pStyle w:val="FootnoteText"/>
        <w:bidi/>
        <w:rPr>
          <w:rFonts w:ascii="Alef" w:hAnsi="Alef" w:cs="Alef"/>
          <w:sz w:val="22"/>
          <w:szCs w:val="22"/>
          <w:rtl/>
        </w:rPr>
      </w:pPr>
      <w:r w:rsidRPr="000A4255">
        <w:rPr>
          <w:rStyle w:val="FootnoteReference"/>
          <w:rFonts w:ascii="Alef" w:hAnsi="Alef" w:cs="Alef"/>
          <w:sz w:val="18"/>
          <w:szCs w:val="18"/>
        </w:rPr>
        <w:footnoteRef/>
      </w:r>
      <w:r w:rsidRPr="000A4255">
        <w:rPr>
          <w:rFonts w:ascii="Alef" w:hAnsi="Alef" w:cs="Alef"/>
          <w:sz w:val="18"/>
          <w:szCs w:val="18"/>
          <w:rtl/>
        </w:rPr>
        <w:t xml:space="preserve"> ראו קישור לדו"ח סיכום הוועדה מדצמבר 2018: </w:t>
      </w:r>
      <w:r w:rsidRPr="000A4255">
        <w:rPr>
          <w:rFonts w:ascii="Alef" w:hAnsi="Alef" w:cs="Alef"/>
          <w:sz w:val="22"/>
          <w:szCs w:val="22"/>
        </w:rPr>
        <w:t xml:space="preserve"> </w:t>
      </w:r>
    </w:p>
    <w:p w14:paraId="0C0A0AE5" w14:textId="77777777" w:rsidR="00380C33" w:rsidRPr="000A4255" w:rsidRDefault="008954C5" w:rsidP="000A4255">
      <w:pPr>
        <w:pStyle w:val="FootnoteText"/>
        <w:rPr>
          <w:rFonts w:ascii="Alef" w:hAnsi="Alef" w:cs="Alef"/>
          <w:sz w:val="18"/>
          <w:szCs w:val="18"/>
        </w:rPr>
      </w:pPr>
      <w:hyperlink r:id="rId6" w:history="1">
        <w:r w:rsidR="00380C33" w:rsidRPr="000A4255">
          <w:rPr>
            <w:rStyle w:val="Hyperlink"/>
            <w:rFonts w:ascii="Alef" w:hAnsi="Alef" w:cs="Alef"/>
            <w:sz w:val="18"/>
            <w:szCs w:val="18"/>
          </w:rPr>
          <w:t>https://www.gov.il/BlobFolder/reports/periodic_examination/he/ng_dec_18.pdf</w:t>
        </w:r>
      </w:hyperlink>
    </w:p>
  </w:footnote>
  <w:footnote w:id="15">
    <w:p w14:paraId="78509F19"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ראו קישור להחלטת הממשלה: </w:t>
      </w:r>
      <w:hyperlink r:id="rId7" w:history="1">
        <w:r w:rsidRPr="000A4255">
          <w:rPr>
            <w:rStyle w:val="Hyperlink"/>
            <w:rFonts w:ascii="Alef" w:hAnsi="Alef" w:cs="Alef"/>
            <w:sz w:val="18"/>
            <w:szCs w:val="18"/>
          </w:rPr>
          <w:t>https://www.gov.il/he/departments/policies/dec4442_2019</w:t>
        </w:r>
      </w:hyperlink>
    </w:p>
  </w:footnote>
  <w:footnote w:id="16">
    <w:p w14:paraId="47F46CDB" w14:textId="0398D03C" w:rsidR="00380C33" w:rsidRPr="000A4255" w:rsidRDefault="00700A16" w:rsidP="000A4255">
      <w:pPr>
        <w:pStyle w:val="FootnoteText"/>
        <w:bidi/>
        <w:jc w:val="both"/>
        <w:rPr>
          <w:rFonts w:ascii="Alef" w:hAnsi="Alef" w:cs="Alef"/>
          <w:sz w:val="18"/>
          <w:szCs w:val="18"/>
          <w:rtl/>
        </w:rPr>
      </w:pPr>
      <w:r w:rsidRPr="000A4255">
        <w:rPr>
          <w:rFonts w:ascii="Alef" w:hAnsi="Alef" w:cs="Alef"/>
          <w:sz w:val="18"/>
          <w:szCs w:val="18"/>
        </w:rPr>
        <w:t xml:space="preserve"> </w:t>
      </w:r>
      <w:r w:rsidR="00380C33" w:rsidRPr="000A4255">
        <w:rPr>
          <w:rStyle w:val="FootnoteReference"/>
          <w:rFonts w:ascii="Alef" w:hAnsi="Alef" w:cs="Alef"/>
          <w:sz w:val="18"/>
          <w:szCs w:val="18"/>
        </w:rPr>
        <w:footnoteRef/>
      </w:r>
      <w:r w:rsidRPr="000A4255">
        <w:rPr>
          <w:rFonts w:ascii="Alef" w:hAnsi="Alef" w:cs="Alef"/>
          <w:sz w:val="18"/>
          <w:szCs w:val="18"/>
          <w:rtl/>
        </w:rPr>
        <w:t>ה"ש 13.</w:t>
      </w:r>
    </w:p>
  </w:footnote>
  <w:footnote w:id="17">
    <w:p w14:paraId="0700E142" w14:textId="77777777" w:rsidR="00380C33" w:rsidRPr="000A4255" w:rsidRDefault="00380C33" w:rsidP="000A4255">
      <w:pPr>
        <w:pStyle w:val="FootnoteText"/>
        <w:bidi/>
        <w:jc w:val="both"/>
        <w:rPr>
          <w:rFonts w:ascii="Alef" w:hAnsi="Alef" w:cs="Alef"/>
          <w:sz w:val="18"/>
          <w:szCs w:val="18"/>
        </w:rPr>
      </w:pPr>
      <w:r w:rsidRPr="000A4255">
        <w:rPr>
          <w:rStyle w:val="FootnoteReference"/>
          <w:rFonts w:ascii="Alef" w:hAnsi="Alef" w:cs="Alef"/>
          <w:sz w:val="18"/>
          <w:szCs w:val="18"/>
        </w:rPr>
        <w:footnoteRef/>
      </w:r>
      <w:r w:rsidRPr="000A4255">
        <w:rPr>
          <w:rFonts w:ascii="Alef" w:hAnsi="Alef" w:cs="Alef"/>
          <w:sz w:val="18"/>
          <w:szCs w:val="18"/>
          <w:rtl/>
        </w:rPr>
        <w:t xml:space="preserve"> לפי הערכת שותפויות הגז השונות. יוער, כי לפי הערכת גורמי המקצוע במשרד האנרגיה, גודלו של שדה תמר עומד על 280 </w:t>
      </w:r>
      <w:r w:rsidRPr="000A4255">
        <w:rPr>
          <w:rFonts w:ascii="Alef" w:hAnsi="Alef" w:cs="Alef"/>
          <w:sz w:val="18"/>
          <w:szCs w:val="18"/>
        </w:rPr>
        <w:t>BCM</w:t>
      </w:r>
      <w:r w:rsidRPr="000A4255">
        <w:rPr>
          <w:rFonts w:ascii="Alef" w:hAnsi="Alef" w:cs="Alef"/>
          <w:sz w:val="18"/>
          <w:szCs w:val="18"/>
          <w:rtl/>
        </w:rPr>
        <w:t xml:space="preserve"> ושל לווייתן על 590 </w:t>
      </w:r>
      <w:r w:rsidRPr="000A4255">
        <w:rPr>
          <w:rFonts w:ascii="Alef" w:hAnsi="Alef" w:cs="Alef"/>
          <w:sz w:val="18"/>
          <w:szCs w:val="18"/>
        </w:rPr>
        <w:t>BCM</w:t>
      </w:r>
      <w:r w:rsidRPr="000A4255">
        <w:rPr>
          <w:rFonts w:ascii="Alef" w:hAnsi="Alef" w:cs="Alef"/>
          <w:sz w:val="18"/>
          <w:szCs w:val="18"/>
          <w:rtl/>
        </w:rPr>
        <w:t xml:space="preserve">. </w:t>
      </w:r>
    </w:p>
  </w:footnote>
  <w:footnote w:id="18">
    <w:p w14:paraId="47CE5055" w14:textId="21EEF17F"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tl/>
        </w:rPr>
        <w:t xml:space="preserve"> מתוך הדו"חות הכספיים של שותפויות הגז לשנת 2018. </w:t>
      </w:r>
    </w:p>
  </w:footnote>
  <w:footnote w:id="19">
    <w:p w14:paraId="50EC9EED" w14:textId="77777777" w:rsidR="00380C33" w:rsidRPr="000A4255" w:rsidRDefault="00380C33" w:rsidP="000A4255">
      <w:pPr>
        <w:pStyle w:val="FootnoteText"/>
        <w:bidi/>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מתוך הדו"חות הכספיים של שותפויות הגז לשנת 2018.</w:t>
      </w:r>
    </w:p>
  </w:footnote>
  <w:footnote w:id="20">
    <w:p w14:paraId="2099BFF8" w14:textId="4186125A"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כאמור, בהתאם להוראות מתווה הגז, נדרשת דלק</w:t>
      </w:r>
      <w:r w:rsidR="003357F8" w:rsidRPr="000A4255">
        <w:rPr>
          <w:rFonts w:ascii="Alef" w:hAnsi="Alef" w:cs="Alef"/>
          <w:sz w:val="18"/>
          <w:szCs w:val="18"/>
          <w:rtl/>
        </w:rPr>
        <w:t xml:space="preserve"> קידוחים</w:t>
      </w:r>
      <w:r w:rsidRPr="000A4255">
        <w:rPr>
          <w:rFonts w:ascii="Alef" w:hAnsi="Alef" w:cs="Alef"/>
          <w:sz w:val="18"/>
          <w:szCs w:val="18"/>
          <w:rtl/>
        </w:rPr>
        <w:t xml:space="preserve"> למכור את מלוא זכויותיה בחזקות תמר ודלית עד ליום 17.12.2021.</w:t>
      </w:r>
    </w:p>
  </w:footnote>
  <w:footnote w:id="21">
    <w:p w14:paraId="456646B7" w14:textId="77777777" w:rsidR="00380C33" w:rsidRPr="000A4255" w:rsidRDefault="00380C33" w:rsidP="000A4255">
      <w:pPr>
        <w:pStyle w:val="FootnoteText"/>
        <w:bidi/>
        <w:jc w:val="both"/>
        <w:rPr>
          <w:rFonts w:ascii="Alef" w:hAnsi="Alef" w:cs="Alef"/>
          <w:sz w:val="20"/>
          <w:szCs w:val="20"/>
        </w:rPr>
      </w:pPr>
      <w:r w:rsidRPr="000A4255">
        <w:rPr>
          <w:rStyle w:val="FootnoteReference"/>
          <w:rFonts w:ascii="Alef" w:hAnsi="Alef" w:cs="Alef"/>
          <w:sz w:val="18"/>
          <w:szCs w:val="18"/>
        </w:rPr>
        <w:footnoteRef/>
      </w:r>
      <w:r w:rsidRPr="000A4255">
        <w:rPr>
          <w:rFonts w:ascii="Alef" w:hAnsi="Alef" w:cs="Alef"/>
          <w:sz w:val="20"/>
          <w:szCs w:val="20"/>
        </w:rPr>
        <w:t xml:space="preserve"> </w:t>
      </w:r>
      <w:r w:rsidRPr="000A4255">
        <w:rPr>
          <w:rFonts w:ascii="Alef" w:hAnsi="Alef" w:cs="Alef"/>
          <w:sz w:val="18"/>
          <w:szCs w:val="18"/>
          <w:rtl/>
        </w:rPr>
        <w:t>כאמור, דלק קידוחים מכרה את אחזקותיה בחזקות כריש ותנין לידי אנר'גיאן, בתמורה לתמלוגים.</w:t>
      </w:r>
    </w:p>
  </w:footnote>
  <w:footnote w:id="22">
    <w:p w14:paraId="7FB3A81A"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לרבות 35 </w:t>
      </w:r>
      <w:r w:rsidRPr="000A4255">
        <w:rPr>
          <w:rFonts w:ascii="Alef" w:hAnsi="Alef" w:cs="Alef"/>
          <w:sz w:val="18"/>
          <w:szCs w:val="18"/>
        </w:rPr>
        <w:t>BCM</w:t>
      </w:r>
      <w:r w:rsidRPr="000A4255">
        <w:rPr>
          <w:rFonts w:ascii="Alef" w:hAnsi="Alef" w:cs="Alef"/>
          <w:sz w:val="18"/>
          <w:szCs w:val="18"/>
          <w:rtl/>
        </w:rPr>
        <w:t xml:space="preserve"> שהתגלו בשדה כריש צפון ועליהם דיווחה אנרג'יאן לבורסה לניירות ערך במרץ 2019. ראו קישור: </w:t>
      </w:r>
      <w:hyperlink r:id="rId8" w:history="1">
        <w:r w:rsidRPr="000A4255">
          <w:rPr>
            <w:rStyle w:val="Hyperlink"/>
            <w:rFonts w:ascii="Alef" w:hAnsi="Alef" w:cs="Alef"/>
            <w:sz w:val="18"/>
            <w:szCs w:val="18"/>
          </w:rPr>
          <w:t>https://maya.tase.co.il/reports/details/1224643</w:t>
        </w:r>
      </w:hyperlink>
      <w:r w:rsidRPr="000A4255">
        <w:rPr>
          <w:rFonts w:ascii="Alef" w:hAnsi="Alef" w:cs="Alef"/>
          <w:sz w:val="18"/>
          <w:szCs w:val="18"/>
          <w:rtl/>
        </w:rPr>
        <w:t xml:space="preserve"> </w:t>
      </w:r>
    </w:p>
  </w:footnote>
  <w:footnote w:id="23">
    <w:p w14:paraId="0F75CAC2" w14:textId="02E36BE5" w:rsidR="002E40F7" w:rsidRPr="000A4255" w:rsidRDefault="002E40F7" w:rsidP="000A4255">
      <w:pPr>
        <w:pStyle w:val="FootnoteText"/>
        <w:bidi/>
        <w:jc w:val="both"/>
        <w:rPr>
          <w:rFonts w:ascii="Alef" w:hAnsi="Alef" w:cs="Alef"/>
          <w:sz w:val="22"/>
          <w:szCs w:val="22"/>
          <w:rtl/>
        </w:rPr>
      </w:pPr>
      <w:r w:rsidRPr="000A4255">
        <w:rPr>
          <w:rStyle w:val="FootnoteReference"/>
          <w:rFonts w:ascii="Alef" w:hAnsi="Alef" w:cs="Alef"/>
          <w:sz w:val="18"/>
          <w:szCs w:val="18"/>
        </w:rPr>
        <w:footnoteRef/>
      </w:r>
      <w:r w:rsidRPr="000A4255">
        <w:rPr>
          <w:rFonts w:ascii="Alef" w:hAnsi="Alef" w:cs="Alef"/>
          <w:sz w:val="22"/>
          <w:szCs w:val="22"/>
        </w:rPr>
        <w:t xml:space="preserve"> </w:t>
      </w:r>
      <w:r w:rsidRPr="000A4255">
        <w:rPr>
          <w:rFonts w:ascii="Alef" w:hAnsi="Alef" w:cs="Alef"/>
          <w:sz w:val="18"/>
          <w:szCs w:val="18"/>
          <w:rtl/>
        </w:rPr>
        <w:t>בהקשר זה, הומלץ</w:t>
      </w:r>
      <w:r w:rsidR="00DE7F04" w:rsidRPr="000A4255">
        <w:rPr>
          <w:rFonts w:ascii="Alef" w:hAnsi="Alef" w:cs="Alef"/>
          <w:sz w:val="18"/>
          <w:szCs w:val="18"/>
          <w:rtl/>
        </w:rPr>
        <w:t xml:space="preserve"> </w:t>
      </w:r>
      <w:r w:rsidRPr="000A4255">
        <w:rPr>
          <w:rFonts w:ascii="Alef" w:hAnsi="Alef" w:cs="Alef"/>
          <w:sz w:val="18"/>
          <w:szCs w:val="18"/>
          <w:rtl/>
        </w:rPr>
        <w:t xml:space="preserve">כי שדות בגודל של עד 50 </w:t>
      </w:r>
      <w:r w:rsidRPr="000A4255">
        <w:rPr>
          <w:rFonts w:ascii="Alef" w:hAnsi="Alef" w:cs="Alef"/>
          <w:sz w:val="18"/>
          <w:szCs w:val="18"/>
        </w:rPr>
        <w:t>BCM</w:t>
      </w:r>
      <w:r w:rsidRPr="000A4255">
        <w:rPr>
          <w:rFonts w:ascii="Alef" w:hAnsi="Alef" w:cs="Alef"/>
          <w:sz w:val="18"/>
          <w:szCs w:val="18"/>
          <w:rtl/>
        </w:rPr>
        <w:t xml:space="preserve"> לא יחויבו באספקה למשק המקומי; </w:t>
      </w:r>
      <w:r w:rsidR="008820A0" w:rsidRPr="000A4255">
        <w:rPr>
          <w:rFonts w:ascii="Alef" w:hAnsi="Alef" w:cs="Alef"/>
          <w:sz w:val="18"/>
          <w:szCs w:val="18"/>
          <w:rtl/>
        </w:rPr>
        <w:t xml:space="preserve">על כל 1 </w:t>
      </w:r>
      <w:r w:rsidR="008820A0" w:rsidRPr="000A4255">
        <w:rPr>
          <w:rFonts w:ascii="Alef" w:hAnsi="Alef" w:cs="Alef"/>
          <w:sz w:val="18"/>
          <w:szCs w:val="18"/>
        </w:rPr>
        <w:t>BCM</w:t>
      </w:r>
      <w:r w:rsidR="008820A0" w:rsidRPr="000A4255">
        <w:rPr>
          <w:rFonts w:ascii="Alef" w:hAnsi="Alef" w:cs="Alef"/>
          <w:sz w:val="18"/>
          <w:szCs w:val="18"/>
          <w:rtl/>
        </w:rPr>
        <w:t xml:space="preserve"> נוסף</w:t>
      </w:r>
      <w:r w:rsidRPr="000A4255">
        <w:rPr>
          <w:rFonts w:ascii="Alef" w:hAnsi="Alef" w:cs="Alef"/>
          <w:sz w:val="18"/>
          <w:szCs w:val="18"/>
          <w:rtl/>
        </w:rPr>
        <w:t xml:space="preserve"> של</w:t>
      </w:r>
      <w:r w:rsidR="008820A0" w:rsidRPr="000A4255">
        <w:rPr>
          <w:rFonts w:ascii="Alef" w:hAnsi="Alef" w:cs="Alef"/>
          <w:sz w:val="18"/>
          <w:szCs w:val="18"/>
          <w:rtl/>
        </w:rPr>
        <w:t xml:space="preserve"> גז טבעי מ-</w:t>
      </w:r>
      <w:r w:rsidRPr="000A4255">
        <w:rPr>
          <w:rFonts w:ascii="Alef" w:hAnsi="Alef" w:cs="Alef"/>
          <w:sz w:val="18"/>
          <w:szCs w:val="18"/>
          <w:rtl/>
        </w:rPr>
        <w:t xml:space="preserve">50 </w:t>
      </w:r>
      <w:r w:rsidRPr="000A4255">
        <w:rPr>
          <w:rFonts w:ascii="Alef" w:hAnsi="Alef" w:cs="Alef"/>
          <w:sz w:val="18"/>
          <w:szCs w:val="18"/>
        </w:rPr>
        <w:t>BCM</w:t>
      </w:r>
      <w:r w:rsidRPr="000A4255">
        <w:rPr>
          <w:rFonts w:ascii="Alef" w:hAnsi="Alef" w:cs="Alef"/>
          <w:sz w:val="18"/>
          <w:szCs w:val="18"/>
          <w:rtl/>
        </w:rPr>
        <w:t xml:space="preserve"> עד 200 </w:t>
      </w:r>
      <w:r w:rsidRPr="000A4255">
        <w:rPr>
          <w:rFonts w:ascii="Alef" w:hAnsi="Alef" w:cs="Alef"/>
          <w:sz w:val="18"/>
          <w:szCs w:val="18"/>
        </w:rPr>
        <w:t>BCM</w:t>
      </w:r>
      <w:r w:rsidR="008820A0" w:rsidRPr="000A4255">
        <w:rPr>
          <w:rFonts w:ascii="Alef" w:hAnsi="Alef" w:cs="Alef"/>
          <w:sz w:val="18"/>
          <w:szCs w:val="18"/>
          <w:rtl/>
        </w:rPr>
        <w:t xml:space="preserve"> תחול חובת אספקה של 50% מכמות זו; על כל 1 </w:t>
      </w:r>
      <w:r w:rsidR="008820A0" w:rsidRPr="000A4255">
        <w:rPr>
          <w:rFonts w:ascii="Alef" w:hAnsi="Alef" w:cs="Alef"/>
          <w:sz w:val="18"/>
          <w:szCs w:val="18"/>
        </w:rPr>
        <w:t>BCM</w:t>
      </w:r>
      <w:r w:rsidR="008820A0" w:rsidRPr="000A4255">
        <w:rPr>
          <w:rFonts w:ascii="Alef" w:hAnsi="Alef" w:cs="Alef"/>
          <w:sz w:val="18"/>
          <w:szCs w:val="18"/>
          <w:rtl/>
        </w:rPr>
        <w:t xml:space="preserve"> נוסף של גז טבעי מ-200 </w:t>
      </w:r>
      <w:r w:rsidR="008820A0" w:rsidRPr="000A4255">
        <w:rPr>
          <w:rFonts w:ascii="Alef" w:hAnsi="Alef" w:cs="Alef"/>
          <w:sz w:val="18"/>
          <w:szCs w:val="18"/>
        </w:rPr>
        <w:t>BCM</w:t>
      </w:r>
      <w:r w:rsidR="008820A0" w:rsidRPr="000A4255">
        <w:rPr>
          <w:rFonts w:ascii="Alef" w:hAnsi="Alef" w:cs="Alef"/>
          <w:sz w:val="18"/>
          <w:szCs w:val="18"/>
          <w:rtl/>
        </w:rPr>
        <w:t xml:space="preserve"> ומעלה תחול חובת אספקה למשק המקומי של 55% מכמות זו.</w:t>
      </w:r>
    </w:p>
  </w:footnote>
  <w:footnote w:id="24">
    <w:p w14:paraId="2A44F48B"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בהתאם להחלטת ממשלה 4442, יעודכנו סעיפים 1(א) ו-1(ב) בהחלטת ממשלה 442, כך שכמות הגז הטבעי שתובטח למשק המקומי ל-25 השנים הקרובות היא 500 </w:t>
      </w:r>
      <w:r w:rsidRPr="000A4255">
        <w:rPr>
          <w:rFonts w:ascii="Alef" w:hAnsi="Alef" w:cs="Alef"/>
          <w:sz w:val="18"/>
          <w:szCs w:val="18"/>
        </w:rPr>
        <w:t>BCM</w:t>
      </w:r>
      <w:r w:rsidRPr="000A4255">
        <w:rPr>
          <w:rFonts w:ascii="Alef" w:hAnsi="Alef" w:cs="Alef"/>
          <w:sz w:val="18"/>
          <w:szCs w:val="18"/>
          <w:rtl/>
        </w:rPr>
        <w:t>.</w:t>
      </w:r>
    </w:p>
  </w:footnote>
  <w:footnote w:id="25">
    <w:p w14:paraId="32663F28"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יש לזכור כי כבר כיום קיים לחשש זה ביטוי ממשי בשוק הגז הטבעי: </w:t>
      </w:r>
      <w:r w:rsidRPr="000A4255">
        <w:rPr>
          <w:rFonts w:ascii="Alef" w:hAnsi="Alef" w:cs="Alef"/>
          <w:sz w:val="18"/>
          <w:szCs w:val="18"/>
        </w:rPr>
        <w:t>Noble Energy</w:t>
      </w:r>
      <w:r w:rsidRPr="000A4255">
        <w:rPr>
          <w:rFonts w:ascii="Alef" w:hAnsi="Alef" w:cs="Alef"/>
          <w:sz w:val="18"/>
          <w:szCs w:val="18"/>
          <w:rtl/>
        </w:rPr>
        <w:t xml:space="preserve"> מחזיקה בחלק ממאגר תמר ובחלק ממאגר לווייתן, באופן שמגביל ביותר את התחרות הפוטנציאלית בין שני המאגרים הללו. </w:t>
      </w:r>
    </w:p>
  </w:footnote>
  <w:footnote w:id="26">
    <w:p w14:paraId="1791A006" w14:textId="77777777" w:rsidR="00380C33" w:rsidRPr="000A4255" w:rsidRDefault="00380C33" w:rsidP="000A4255">
      <w:pPr>
        <w:pStyle w:val="FootnoteText"/>
        <w:bidi/>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tl/>
        </w:rPr>
        <w:t xml:space="preserve"> ראו למשל:</w:t>
      </w:r>
    </w:p>
    <w:p w14:paraId="48B4CC63" w14:textId="77777777" w:rsidR="00380C33" w:rsidRPr="000A4255" w:rsidRDefault="00380C33" w:rsidP="000A4255">
      <w:pPr>
        <w:pStyle w:val="FootnoteText"/>
        <w:jc w:val="both"/>
        <w:rPr>
          <w:rFonts w:ascii="Alef" w:hAnsi="Alef" w:cs="Alef"/>
          <w:sz w:val="18"/>
          <w:szCs w:val="18"/>
        </w:rPr>
      </w:pPr>
      <w:r w:rsidRPr="000A4255">
        <w:rPr>
          <w:rFonts w:ascii="Alef" w:hAnsi="Alef" w:cs="Alef"/>
          <w:sz w:val="18"/>
          <w:szCs w:val="18"/>
        </w:rPr>
        <w:t>David Gilo, Yossi Moshe and Yossi Spiegel,</w:t>
      </w:r>
      <w:r w:rsidRPr="000A4255">
        <w:rPr>
          <w:rFonts w:ascii="Alef" w:hAnsi="Alef" w:cs="Alef"/>
          <w:b/>
          <w:bCs/>
          <w:sz w:val="18"/>
          <w:szCs w:val="18"/>
        </w:rPr>
        <w:t xml:space="preserve"> "Partial Cross Ownership and Tacit Collusion</w:t>
      </w:r>
      <w:r w:rsidRPr="000A4255">
        <w:rPr>
          <w:rFonts w:ascii="Alef" w:hAnsi="Alef" w:cs="Alef"/>
          <w:sz w:val="18"/>
          <w:szCs w:val="18"/>
        </w:rPr>
        <w:t>". Journal of Economics, 37 (2006), pp. 81-99.</w:t>
      </w:r>
    </w:p>
  </w:footnote>
  <w:footnote w:id="27">
    <w:p w14:paraId="5B11D35F" w14:textId="77777777" w:rsidR="00380C33" w:rsidRPr="000A4255" w:rsidRDefault="00380C33" w:rsidP="000A4255">
      <w:pPr>
        <w:pStyle w:val="FootnoteText"/>
        <w:bidi/>
        <w:jc w:val="both"/>
        <w:rPr>
          <w:rFonts w:ascii="Alef" w:hAnsi="Alef" w:cs="Alef"/>
          <w:sz w:val="18"/>
          <w:szCs w:val="18"/>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יוער, כי בחלק מהתקופה שרר חוסר ודאות באשר לכוונותיה של אדיסון להמשיך ולקחת חלק ברישיון, דבר אשר הגביר עוד יותר את הסיכונים מנקודת מבטה של רציו.</w:t>
      </w:r>
    </w:p>
  </w:footnote>
  <w:footnote w:id="28">
    <w:p w14:paraId="55E6C272" w14:textId="77777777" w:rsidR="00380C33" w:rsidRPr="00EB602E" w:rsidRDefault="00380C33" w:rsidP="000A4255">
      <w:pPr>
        <w:pStyle w:val="FootnoteText"/>
        <w:bidi/>
        <w:jc w:val="both"/>
        <w:rPr>
          <w:rFonts w:cs="David"/>
          <w:sz w:val="20"/>
          <w:szCs w:val="20"/>
          <w:rtl/>
        </w:rPr>
      </w:pPr>
      <w:r w:rsidRPr="000A4255">
        <w:rPr>
          <w:rStyle w:val="FootnoteReference"/>
          <w:rFonts w:ascii="Alef" w:hAnsi="Alef" w:cs="Alef"/>
          <w:sz w:val="18"/>
          <w:szCs w:val="18"/>
        </w:rPr>
        <w:footnoteRef/>
      </w:r>
      <w:r w:rsidRPr="000A4255">
        <w:rPr>
          <w:rFonts w:ascii="Alef" w:hAnsi="Alef" w:cs="Alef"/>
          <w:sz w:val="18"/>
          <w:szCs w:val="18"/>
        </w:rPr>
        <w:t xml:space="preserve"> </w:t>
      </w:r>
      <w:r w:rsidRPr="000A4255">
        <w:rPr>
          <w:rFonts w:ascii="Alef" w:hAnsi="Alef" w:cs="Alef"/>
          <w:sz w:val="18"/>
          <w:szCs w:val="18"/>
          <w:rtl/>
        </w:rPr>
        <w:t xml:space="preserve">ראו למשל הודעתה של רציו לבורסה בדבר כוונותיה להעביר 10% מהזכויות ברישיון לחברת יוניבין קפיטל ישראל בע"מ, בקישור: </w:t>
      </w:r>
      <w:hyperlink r:id="rId9" w:history="1">
        <w:r w:rsidRPr="000A4255">
          <w:rPr>
            <w:rStyle w:val="Hyperlink"/>
            <w:rFonts w:ascii="Alef" w:hAnsi="Alef" w:cs="Alef"/>
            <w:sz w:val="18"/>
            <w:szCs w:val="18"/>
          </w:rPr>
          <w:t>https://maya.tase.co.il/reports/details/1235664/2/0</w:t>
        </w:r>
      </w:hyperlink>
      <w:r w:rsidRPr="00EB602E">
        <w:rPr>
          <w:rFonts w:cs="David"/>
          <w:sz w:val="20"/>
          <w:szCs w:val="20"/>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D0534" w14:textId="06986D02" w:rsidR="00091066" w:rsidRDefault="00DB561F" w:rsidP="00DB561F">
    <w:pPr>
      <w:pStyle w:val="Header"/>
    </w:pPr>
    <w:r>
      <w:rPr>
        <w:noProof/>
        <w:rtl/>
      </w:rPr>
      <w:drawing>
        <wp:anchor distT="0" distB="0" distL="114300" distR="114300" simplePos="0" relativeHeight="251659264" behindDoc="1" locked="0" layoutInCell="1" allowOverlap="1" wp14:anchorId="209A9143" wp14:editId="19E98578">
          <wp:simplePos x="0" y="0"/>
          <wp:positionH relativeFrom="page">
            <wp:align>left</wp:align>
          </wp:positionH>
          <wp:positionV relativeFrom="page">
            <wp:posOffset>69273</wp:posOffset>
          </wp:positionV>
          <wp:extent cx="7562850" cy="1565563"/>
          <wp:effectExtent l="0" t="0" r="0" b="0"/>
          <wp:wrapSquare wrapText="bothSides"/>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56556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B5325"/>
    <w:multiLevelType w:val="multilevel"/>
    <w:tmpl w:val="64081F08"/>
    <w:lvl w:ilvl="0">
      <w:start w:val="1"/>
      <w:numFmt w:val="decimal"/>
      <w:lvlText w:val="%1."/>
      <w:lvlJc w:val="left"/>
      <w:pPr>
        <w:tabs>
          <w:tab w:val="num" w:pos="360"/>
        </w:tabs>
        <w:ind w:left="360" w:hanging="360"/>
      </w:pPr>
      <w:rPr>
        <w:lang w:bidi="he-IL"/>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21113C42"/>
    <w:multiLevelType w:val="hybridMultilevel"/>
    <w:tmpl w:val="3746C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4A4A30"/>
    <w:multiLevelType w:val="multilevel"/>
    <w:tmpl w:val="DAE06530"/>
    <w:lvl w:ilvl="0">
      <w:start w:val="1"/>
      <w:numFmt w:val="decimal"/>
      <w:lvlText w:val="%1."/>
      <w:lvlJc w:val="left"/>
      <w:pPr>
        <w:ind w:left="360" w:hanging="360"/>
      </w:pPr>
      <w:rPr>
        <w:lang w:bidi="he-IL"/>
      </w:rPr>
    </w:lvl>
    <w:lvl w:ilvl="1">
      <w:start w:val="1"/>
      <w:numFmt w:val="decimal"/>
      <w:lvlText w:val="%1.%2."/>
      <w:lvlJc w:val="left"/>
      <w:pPr>
        <w:ind w:left="432" w:hanging="432"/>
      </w:pPr>
      <w:rPr>
        <w:b w:val="0"/>
        <w:bCs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19A664A"/>
    <w:multiLevelType w:val="hybridMultilevel"/>
    <w:tmpl w:val="74624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F86D25"/>
    <w:multiLevelType w:val="multilevel"/>
    <w:tmpl w:val="F4DE7B44"/>
    <w:lvl w:ilvl="0">
      <w:start w:val="1"/>
      <w:numFmt w:val="bullet"/>
      <w:lvlText w:val=""/>
      <w:lvlJc w:val="left"/>
      <w:pPr>
        <w:ind w:left="360" w:hanging="360"/>
      </w:pPr>
      <w:rPr>
        <w:rFonts w:ascii="Symbol" w:hAnsi="Symbol" w:hint="default"/>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DB"/>
    <w:rsid w:val="000016D7"/>
    <w:rsid w:val="0000172C"/>
    <w:rsid w:val="000027C2"/>
    <w:rsid w:val="00007DAE"/>
    <w:rsid w:val="0001295F"/>
    <w:rsid w:val="00017AA3"/>
    <w:rsid w:val="00025E42"/>
    <w:rsid w:val="000345A3"/>
    <w:rsid w:val="000460C7"/>
    <w:rsid w:val="00051E6A"/>
    <w:rsid w:val="00057B31"/>
    <w:rsid w:val="00062F37"/>
    <w:rsid w:val="0007070D"/>
    <w:rsid w:val="000722CA"/>
    <w:rsid w:val="00074C41"/>
    <w:rsid w:val="00091066"/>
    <w:rsid w:val="00097CBF"/>
    <w:rsid w:val="000A0A63"/>
    <w:rsid w:val="000A4255"/>
    <w:rsid w:val="000A63AA"/>
    <w:rsid w:val="000B10B5"/>
    <w:rsid w:val="000B20E2"/>
    <w:rsid w:val="000B52CF"/>
    <w:rsid w:val="000B716E"/>
    <w:rsid w:val="000C19A7"/>
    <w:rsid w:val="000C32A6"/>
    <w:rsid w:val="000C6F18"/>
    <w:rsid w:val="000C7A69"/>
    <w:rsid w:val="000D2D29"/>
    <w:rsid w:val="000D373A"/>
    <w:rsid w:val="000D40B9"/>
    <w:rsid w:val="000D61C0"/>
    <w:rsid w:val="000E0C76"/>
    <w:rsid w:val="000E10F3"/>
    <w:rsid w:val="000E62CD"/>
    <w:rsid w:val="000F2D31"/>
    <w:rsid w:val="000F6641"/>
    <w:rsid w:val="0010653F"/>
    <w:rsid w:val="00106A28"/>
    <w:rsid w:val="00106D35"/>
    <w:rsid w:val="001215B8"/>
    <w:rsid w:val="00126B5A"/>
    <w:rsid w:val="00126C91"/>
    <w:rsid w:val="0012796F"/>
    <w:rsid w:val="00135C10"/>
    <w:rsid w:val="0013649A"/>
    <w:rsid w:val="00136EDC"/>
    <w:rsid w:val="001406F5"/>
    <w:rsid w:val="00141025"/>
    <w:rsid w:val="0014723E"/>
    <w:rsid w:val="00147AD2"/>
    <w:rsid w:val="001523E9"/>
    <w:rsid w:val="00153064"/>
    <w:rsid w:val="00157B35"/>
    <w:rsid w:val="00161AB3"/>
    <w:rsid w:val="00165750"/>
    <w:rsid w:val="0016755E"/>
    <w:rsid w:val="00173326"/>
    <w:rsid w:val="00176750"/>
    <w:rsid w:val="00180449"/>
    <w:rsid w:val="00181A72"/>
    <w:rsid w:val="00190E12"/>
    <w:rsid w:val="00191142"/>
    <w:rsid w:val="00191556"/>
    <w:rsid w:val="00196FB7"/>
    <w:rsid w:val="00197832"/>
    <w:rsid w:val="001A2DC7"/>
    <w:rsid w:val="001A493D"/>
    <w:rsid w:val="001A537E"/>
    <w:rsid w:val="001A785F"/>
    <w:rsid w:val="001B298D"/>
    <w:rsid w:val="001B3DF3"/>
    <w:rsid w:val="001B3FA2"/>
    <w:rsid w:val="001C3C60"/>
    <w:rsid w:val="001D0AC6"/>
    <w:rsid w:val="001D7666"/>
    <w:rsid w:val="001E5324"/>
    <w:rsid w:val="001F0D42"/>
    <w:rsid w:val="001F331D"/>
    <w:rsid w:val="001F50AB"/>
    <w:rsid w:val="0020169A"/>
    <w:rsid w:val="00210967"/>
    <w:rsid w:val="00211448"/>
    <w:rsid w:val="0021151B"/>
    <w:rsid w:val="00216ABB"/>
    <w:rsid w:val="00220599"/>
    <w:rsid w:val="00230D02"/>
    <w:rsid w:val="00234D5F"/>
    <w:rsid w:val="002357D0"/>
    <w:rsid w:val="00235AC5"/>
    <w:rsid w:val="00240EF0"/>
    <w:rsid w:val="00241F88"/>
    <w:rsid w:val="00246934"/>
    <w:rsid w:val="00254809"/>
    <w:rsid w:val="0026001E"/>
    <w:rsid w:val="0026644D"/>
    <w:rsid w:val="0027201C"/>
    <w:rsid w:val="0027271C"/>
    <w:rsid w:val="002736F2"/>
    <w:rsid w:val="0027554D"/>
    <w:rsid w:val="002756E0"/>
    <w:rsid w:val="00276121"/>
    <w:rsid w:val="002815D4"/>
    <w:rsid w:val="00282F10"/>
    <w:rsid w:val="0028343E"/>
    <w:rsid w:val="00286A06"/>
    <w:rsid w:val="00286AA8"/>
    <w:rsid w:val="00287390"/>
    <w:rsid w:val="00296DD7"/>
    <w:rsid w:val="002A4200"/>
    <w:rsid w:val="002A62AE"/>
    <w:rsid w:val="002A764D"/>
    <w:rsid w:val="002B097B"/>
    <w:rsid w:val="002B247E"/>
    <w:rsid w:val="002B50B4"/>
    <w:rsid w:val="002C17B2"/>
    <w:rsid w:val="002C1C81"/>
    <w:rsid w:val="002D1D88"/>
    <w:rsid w:val="002D1EC8"/>
    <w:rsid w:val="002D7076"/>
    <w:rsid w:val="002E009F"/>
    <w:rsid w:val="002E40F7"/>
    <w:rsid w:val="002E5C64"/>
    <w:rsid w:val="002E6C28"/>
    <w:rsid w:val="002F7E62"/>
    <w:rsid w:val="00300951"/>
    <w:rsid w:val="003128D3"/>
    <w:rsid w:val="00313BB8"/>
    <w:rsid w:val="003146CD"/>
    <w:rsid w:val="00321464"/>
    <w:rsid w:val="003245E7"/>
    <w:rsid w:val="00325ED9"/>
    <w:rsid w:val="00327205"/>
    <w:rsid w:val="003357F8"/>
    <w:rsid w:val="00340C15"/>
    <w:rsid w:val="00344AA4"/>
    <w:rsid w:val="00347AA9"/>
    <w:rsid w:val="003514DE"/>
    <w:rsid w:val="00357E82"/>
    <w:rsid w:val="00361C22"/>
    <w:rsid w:val="003636FF"/>
    <w:rsid w:val="003650F0"/>
    <w:rsid w:val="0037071B"/>
    <w:rsid w:val="00373279"/>
    <w:rsid w:val="0037573D"/>
    <w:rsid w:val="00380411"/>
    <w:rsid w:val="00380C33"/>
    <w:rsid w:val="00382EB6"/>
    <w:rsid w:val="00383950"/>
    <w:rsid w:val="00383F0B"/>
    <w:rsid w:val="00391637"/>
    <w:rsid w:val="0039714A"/>
    <w:rsid w:val="003B1D33"/>
    <w:rsid w:val="003B3866"/>
    <w:rsid w:val="003B4DA2"/>
    <w:rsid w:val="003D0C71"/>
    <w:rsid w:val="003D335E"/>
    <w:rsid w:val="003D4D8A"/>
    <w:rsid w:val="003D5E8B"/>
    <w:rsid w:val="003D6E47"/>
    <w:rsid w:val="003D717F"/>
    <w:rsid w:val="003D7B58"/>
    <w:rsid w:val="003F4605"/>
    <w:rsid w:val="003F5725"/>
    <w:rsid w:val="003F69DF"/>
    <w:rsid w:val="004031E0"/>
    <w:rsid w:val="004043D0"/>
    <w:rsid w:val="00414D4A"/>
    <w:rsid w:val="00415A6A"/>
    <w:rsid w:val="00424E11"/>
    <w:rsid w:val="004253D3"/>
    <w:rsid w:val="00425977"/>
    <w:rsid w:val="00427E2B"/>
    <w:rsid w:val="00430617"/>
    <w:rsid w:val="00431850"/>
    <w:rsid w:val="00431D33"/>
    <w:rsid w:val="00432D76"/>
    <w:rsid w:val="004338DA"/>
    <w:rsid w:val="00434A19"/>
    <w:rsid w:val="004369DD"/>
    <w:rsid w:val="004412D8"/>
    <w:rsid w:val="004418F5"/>
    <w:rsid w:val="00441F05"/>
    <w:rsid w:val="0044319C"/>
    <w:rsid w:val="00443C99"/>
    <w:rsid w:val="00452F62"/>
    <w:rsid w:val="0045445D"/>
    <w:rsid w:val="00457871"/>
    <w:rsid w:val="004605EE"/>
    <w:rsid w:val="004756BE"/>
    <w:rsid w:val="004852C0"/>
    <w:rsid w:val="004857F2"/>
    <w:rsid w:val="00485A09"/>
    <w:rsid w:val="00485AF2"/>
    <w:rsid w:val="004871CF"/>
    <w:rsid w:val="0049318C"/>
    <w:rsid w:val="00495816"/>
    <w:rsid w:val="004A3A7D"/>
    <w:rsid w:val="004B2E5F"/>
    <w:rsid w:val="004B32E7"/>
    <w:rsid w:val="004C2D9F"/>
    <w:rsid w:val="004C3702"/>
    <w:rsid w:val="004C4174"/>
    <w:rsid w:val="004D4A4D"/>
    <w:rsid w:val="004E2DA3"/>
    <w:rsid w:val="004E32F3"/>
    <w:rsid w:val="004E4FDB"/>
    <w:rsid w:val="004E662B"/>
    <w:rsid w:val="004F1283"/>
    <w:rsid w:val="004F39CA"/>
    <w:rsid w:val="004F5AA5"/>
    <w:rsid w:val="00501109"/>
    <w:rsid w:val="00501B74"/>
    <w:rsid w:val="00504934"/>
    <w:rsid w:val="00510EB9"/>
    <w:rsid w:val="0051506C"/>
    <w:rsid w:val="0052180A"/>
    <w:rsid w:val="00523A49"/>
    <w:rsid w:val="00525BE5"/>
    <w:rsid w:val="0053177A"/>
    <w:rsid w:val="005358A9"/>
    <w:rsid w:val="00537E66"/>
    <w:rsid w:val="0054163E"/>
    <w:rsid w:val="005431AB"/>
    <w:rsid w:val="005508F6"/>
    <w:rsid w:val="0055494A"/>
    <w:rsid w:val="00555981"/>
    <w:rsid w:val="00557E13"/>
    <w:rsid w:val="00562C5D"/>
    <w:rsid w:val="00573167"/>
    <w:rsid w:val="005731CA"/>
    <w:rsid w:val="00575B33"/>
    <w:rsid w:val="00580F6B"/>
    <w:rsid w:val="005900CE"/>
    <w:rsid w:val="005961EA"/>
    <w:rsid w:val="005A3397"/>
    <w:rsid w:val="005A3782"/>
    <w:rsid w:val="005B1965"/>
    <w:rsid w:val="005B3F14"/>
    <w:rsid w:val="005B7F9D"/>
    <w:rsid w:val="005C3BEE"/>
    <w:rsid w:val="005C61DD"/>
    <w:rsid w:val="005C6B80"/>
    <w:rsid w:val="005D49DA"/>
    <w:rsid w:val="005E43BF"/>
    <w:rsid w:val="005F671A"/>
    <w:rsid w:val="005F7EEC"/>
    <w:rsid w:val="005F7F73"/>
    <w:rsid w:val="0060010A"/>
    <w:rsid w:val="00604804"/>
    <w:rsid w:val="00605C3E"/>
    <w:rsid w:val="00607320"/>
    <w:rsid w:val="00607711"/>
    <w:rsid w:val="00617B21"/>
    <w:rsid w:val="00635F97"/>
    <w:rsid w:val="00646974"/>
    <w:rsid w:val="006475F9"/>
    <w:rsid w:val="006500DF"/>
    <w:rsid w:val="00651670"/>
    <w:rsid w:val="00656C83"/>
    <w:rsid w:val="00657EF4"/>
    <w:rsid w:val="006633E8"/>
    <w:rsid w:val="0066458C"/>
    <w:rsid w:val="00664A96"/>
    <w:rsid w:val="00665BE2"/>
    <w:rsid w:val="00666A80"/>
    <w:rsid w:val="006703F6"/>
    <w:rsid w:val="00670CC5"/>
    <w:rsid w:val="00680B1E"/>
    <w:rsid w:val="00683C58"/>
    <w:rsid w:val="006905A3"/>
    <w:rsid w:val="006952C0"/>
    <w:rsid w:val="006A64C6"/>
    <w:rsid w:val="006B022C"/>
    <w:rsid w:val="006B1834"/>
    <w:rsid w:val="006B257B"/>
    <w:rsid w:val="006B6CE5"/>
    <w:rsid w:val="006B77CA"/>
    <w:rsid w:val="006D0989"/>
    <w:rsid w:val="006D2BCD"/>
    <w:rsid w:val="006D4621"/>
    <w:rsid w:val="006E3383"/>
    <w:rsid w:val="006E3C3D"/>
    <w:rsid w:val="006E5861"/>
    <w:rsid w:val="006E685A"/>
    <w:rsid w:val="006E6A60"/>
    <w:rsid w:val="006F248E"/>
    <w:rsid w:val="00700887"/>
    <w:rsid w:val="00700A16"/>
    <w:rsid w:val="007038A0"/>
    <w:rsid w:val="00704CCC"/>
    <w:rsid w:val="00706695"/>
    <w:rsid w:val="00720A05"/>
    <w:rsid w:val="007236B5"/>
    <w:rsid w:val="00724308"/>
    <w:rsid w:val="007309A8"/>
    <w:rsid w:val="00736E92"/>
    <w:rsid w:val="00747E1A"/>
    <w:rsid w:val="007535C0"/>
    <w:rsid w:val="00757786"/>
    <w:rsid w:val="00761A26"/>
    <w:rsid w:val="00761B05"/>
    <w:rsid w:val="00765951"/>
    <w:rsid w:val="00770CEF"/>
    <w:rsid w:val="007728ED"/>
    <w:rsid w:val="007808BF"/>
    <w:rsid w:val="0078248F"/>
    <w:rsid w:val="0078284F"/>
    <w:rsid w:val="007844C9"/>
    <w:rsid w:val="0078452A"/>
    <w:rsid w:val="007875B9"/>
    <w:rsid w:val="0079563D"/>
    <w:rsid w:val="00795EE0"/>
    <w:rsid w:val="007A135E"/>
    <w:rsid w:val="007A2577"/>
    <w:rsid w:val="007A31A2"/>
    <w:rsid w:val="007A4AFF"/>
    <w:rsid w:val="007A4BD3"/>
    <w:rsid w:val="007A6516"/>
    <w:rsid w:val="007B1F29"/>
    <w:rsid w:val="007B4A1F"/>
    <w:rsid w:val="007B690C"/>
    <w:rsid w:val="007C16ED"/>
    <w:rsid w:val="007C6387"/>
    <w:rsid w:val="007D1CF0"/>
    <w:rsid w:val="007D1D33"/>
    <w:rsid w:val="007D6F24"/>
    <w:rsid w:val="007D76A5"/>
    <w:rsid w:val="007E4260"/>
    <w:rsid w:val="007E6134"/>
    <w:rsid w:val="007F3F8C"/>
    <w:rsid w:val="007F5506"/>
    <w:rsid w:val="007F69EF"/>
    <w:rsid w:val="007F6CC1"/>
    <w:rsid w:val="007F7420"/>
    <w:rsid w:val="00801905"/>
    <w:rsid w:val="00805AC1"/>
    <w:rsid w:val="008067D8"/>
    <w:rsid w:val="0080711A"/>
    <w:rsid w:val="008119DE"/>
    <w:rsid w:val="008138E1"/>
    <w:rsid w:val="00814405"/>
    <w:rsid w:val="00814D17"/>
    <w:rsid w:val="00821E35"/>
    <w:rsid w:val="008222BB"/>
    <w:rsid w:val="00824A6E"/>
    <w:rsid w:val="00831A43"/>
    <w:rsid w:val="008344B3"/>
    <w:rsid w:val="00835C37"/>
    <w:rsid w:val="0084281E"/>
    <w:rsid w:val="00845842"/>
    <w:rsid w:val="00846617"/>
    <w:rsid w:val="0085776E"/>
    <w:rsid w:val="00871C37"/>
    <w:rsid w:val="008730E8"/>
    <w:rsid w:val="00873A3B"/>
    <w:rsid w:val="00875D40"/>
    <w:rsid w:val="0088035B"/>
    <w:rsid w:val="008820A0"/>
    <w:rsid w:val="00883E12"/>
    <w:rsid w:val="008855FA"/>
    <w:rsid w:val="00885C55"/>
    <w:rsid w:val="00886EF6"/>
    <w:rsid w:val="00890DF9"/>
    <w:rsid w:val="008954C5"/>
    <w:rsid w:val="008958C6"/>
    <w:rsid w:val="008A007D"/>
    <w:rsid w:val="008A0176"/>
    <w:rsid w:val="008A44F1"/>
    <w:rsid w:val="008A5A11"/>
    <w:rsid w:val="008B39B2"/>
    <w:rsid w:val="008D1C00"/>
    <w:rsid w:val="008E08A8"/>
    <w:rsid w:val="008E2A60"/>
    <w:rsid w:val="008F13E4"/>
    <w:rsid w:val="008F25FD"/>
    <w:rsid w:val="008F3ED4"/>
    <w:rsid w:val="008F5294"/>
    <w:rsid w:val="00901CDA"/>
    <w:rsid w:val="00902988"/>
    <w:rsid w:val="00910754"/>
    <w:rsid w:val="00923CAF"/>
    <w:rsid w:val="0093160D"/>
    <w:rsid w:val="00933FC4"/>
    <w:rsid w:val="009346A7"/>
    <w:rsid w:val="00937B5E"/>
    <w:rsid w:val="009419A3"/>
    <w:rsid w:val="009466AC"/>
    <w:rsid w:val="00946A18"/>
    <w:rsid w:val="00947493"/>
    <w:rsid w:val="009501A6"/>
    <w:rsid w:val="00961EF4"/>
    <w:rsid w:val="009668CA"/>
    <w:rsid w:val="00970F6E"/>
    <w:rsid w:val="00972820"/>
    <w:rsid w:val="00987BBC"/>
    <w:rsid w:val="00987CD7"/>
    <w:rsid w:val="00994C1D"/>
    <w:rsid w:val="009963DA"/>
    <w:rsid w:val="009A0C8C"/>
    <w:rsid w:val="009A710A"/>
    <w:rsid w:val="009B04A9"/>
    <w:rsid w:val="009B6BC8"/>
    <w:rsid w:val="009B78E7"/>
    <w:rsid w:val="009B7ACB"/>
    <w:rsid w:val="009C0B72"/>
    <w:rsid w:val="009C0D53"/>
    <w:rsid w:val="009C26E5"/>
    <w:rsid w:val="009C6732"/>
    <w:rsid w:val="009C6BDE"/>
    <w:rsid w:val="009D46F7"/>
    <w:rsid w:val="009D6DE8"/>
    <w:rsid w:val="009E383B"/>
    <w:rsid w:val="009E57F4"/>
    <w:rsid w:val="009E7E6E"/>
    <w:rsid w:val="009F7B55"/>
    <w:rsid w:val="00A01693"/>
    <w:rsid w:val="00A019CB"/>
    <w:rsid w:val="00A01A69"/>
    <w:rsid w:val="00A02059"/>
    <w:rsid w:val="00A15D32"/>
    <w:rsid w:val="00A32275"/>
    <w:rsid w:val="00A41121"/>
    <w:rsid w:val="00A4150B"/>
    <w:rsid w:val="00A45401"/>
    <w:rsid w:val="00A45DDA"/>
    <w:rsid w:val="00A46CCA"/>
    <w:rsid w:val="00A5222D"/>
    <w:rsid w:val="00A54B95"/>
    <w:rsid w:val="00A55444"/>
    <w:rsid w:val="00A56871"/>
    <w:rsid w:val="00A5761D"/>
    <w:rsid w:val="00A62EA7"/>
    <w:rsid w:val="00A637B2"/>
    <w:rsid w:val="00A649D1"/>
    <w:rsid w:val="00A70DEB"/>
    <w:rsid w:val="00A7181D"/>
    <w:rsid w:val="00A72E7E"/>
    <w:rsid w:val="00A73540"/>
    <w:rsid w:val="00A73DFD"/>
    <w:rsid w:val="00A73EBE"/>
    <w:rsid w:val="00A75EA3"/>
    <w:rsid w:val="00A84FF3"/>
    <w:rsid w:val="00A9466B"/>
    <w:rsid w:val="00A950A0"/>
    <w:rsid w:val="00AA27F3"/>
    <w:rsid w:val="00AA683F"/>
    <w:rsid w:val="00AB1410"/>
    <w:rsid w:val="00AB20F7"/>
    <w:rsid w:val="00AB30F0"/>
    <w:rsid w:val="00AB7CA5"/>
    <w:rsid w:val="00AB7F65"/>
    <w:rsid w:val="00AC01EE"/>
    <w:rsid w:val="00AC275F"/>
    <w:rsid w:val="00AC385E"/>
    <w:rsid w:val="00AD1313"/>
    <w:rsid w:val="00AE3FFA"/>
    <w:rsid w:val="00AF098D"/>
    <w:rsid w:val="00AF15A6"/>
    <w:rsid w:val="00AF2F64"/>
    <w:rsid w:val="00AF6BAD"/>
    <w:rsid w:val="00AF7976"/>
    <w:rsid w:val="00B03919"/>
    <w:rsid w:val="00B043A8"/>
    <w:rsid w:val="00B13377"/>
    <w:rsid w:val="00B21709"/>
    <w:rsid w:val="00B2237C"/>
    <w:rsid w:val="00B32478"/>
    <w:rsid w:val="00B33556"/>
    <w:rsid w:val="00B36B07"/>
    <w:rsid w:val="00B403CB"/>
    <w:rsid w:val="00B43A04"/>
    <w:rsid w:val="00B624C9"/>
    <w:rsid w:val="00B635AF"/>
    <w:rsid w:val="00B64EB4"/>
    <w:rsid w:val="00B6769C"/>
    <w:rsid w:val="00B7277B"/>
    <w:rsid w:val="00B73E2B"/>
    <w:rsid w:val="00B80D05"/>
    <w:rsid w:val="00B83FC8"/>
    <w:rsid w:val="00B86AC6"/>
    <w:rsid w:val="00B91322"/>
    <w:rsid w:val="00B91479"/>
    <w:rsid w:val="00B934CC"/>
    <w:rsid w:val="00B97B6E"/>
    <w:rsid w:val="00BA6897"/>
    <w:rsid w:val="00BA7455"/>
    <w:rsid w:val="00BB6020"/>
    <w:rsid w:val="00BC3324"/>
    <w:rsid w:val="00BC4D11"/>
    <w:rsid w:val="00BC7295"/>
    <w:rsid w:val="00BD085D"/>
    <w:rsid w:val="00BD23C7"/>
    <w:rsid w:val="00BD2C90"/>
    <w:rsid w:val="00BD5F34"/>
    <w:rsid w:val="00BE2C1D"/>
    <w:rsid w:val="00BE66AF"/>
    <w:rsid w:val="00BE67C1"/>
    <w:rsid w:val="00BF1C98"/>
    <w:rsid w:val="00BF1E7B"/>
    <w:rsid w:val="00BF2153"/>
    <w:rsid w:val="00C0186A"/>
    <w:rsid w:val="00C04D8F"/>
    <w:rsid w:val="00C073A7"/>
    <w:rsid w:val="00C11833"/>
    <w:rsid w:val="00C21A95"/>
    <w:rsid w:val="00C21F13"/>
    <w:rsid w:val="00C22135"/>
    <w:rsid w:val="00C2310C"/>
    <w:rsid w:val="00C30CE3"/>
    <w:rsid w:val="00C3124C"/>
    <w:rsid w:val="00C33CFB"/>
    <w:rsid w:val="00C3554E"/>
    <w:rsid w:val="00C36808"/>
    <w:rsid w:val="00C400F8"/>
    <w:rsid w:val="00C41833"/>
    <w:rsid w:val="00C449BA"/>
    <w:rsid w:val="00C47CC5"/>
    <w:rsid w:val="00C51E14"/>
    <w:rsid w:val="00C52D5B"/>
    <w:rsid w:val="00C56AC7"/>
    <w:rsid w:val="00C632AE"/>
    <w:rsid w:val="00C63F12"/>
    <w:rsid w:val="00C64EC1"/>
    <w:rsid w:val="00C665A8"/>
    <w:rsid w:val="00C75FDC"/>
    <w:rsid w:val="00C80348"/>
    <w:rsid w:val="00C830DC"/>
    <w:rsid w:val="00C84DDB"/>
    <w:rsid w:val="00C904FF"/>
    <w:rsid w:val="00C90B0A"/>
    <w:rsid w:val="00C9227E"/>
    <w:rsid w:val="00C95AC5"/>
    <w:rsid w:val="00CA4819"/>
    <w:rsid w:val="00CB2C85"/>
    <w:rsid w:val="00CB466B"/>
    <w:rsid w:val="00CB5D65"/>
    <w:rsid w:val="00CB6A6C"/>
    <w:rsid w:val="00CC0078"/>
    <w:rsid w:val="00CC051E"/>
    <w:rsid w:val="00CC0EEF"/>
    <w:rsid w:val="00CC2B70"/>
    <w:rsid w:val="00CC3D09"/>
    <w:rsid w:val="00CC3D85"/>
    <w:rsid w:val="00CD0DFD"/>
    <w:rsid w:val="00CD30D7"/>
    <w:rsid w:val="00CE119E"/>
    <w:rsid w:val="00CE2580"/>
    <w:rsid w:val="00CE38CD"/>
    <w:rsid w:val="00CE6A6A"/>
    <w:rsid w:val="00CF118B"/>
    <w:rsid w:val="00CF2DF3"/>
    <w:rsid w:val="00CF3536"/>
    <w:rsid w:val="00CF4877"/>
    <w:rsid w:val="00CF582F"/>
    <w:rsid w:val="00CF68C5"/>
    <w:rsid w:val="00CF6C61"/>
    <w:rsid w:val="00CF7F72"/>
    <w:rsid w:val="00D05FB6"/>
    <w:rsid w:val="00D142D9"/>
    <w:rsid w:val="00D1438F"/>
    <w:rsid w:val="00D251F2"/>
    <w:rsid w:val="00D34A69"/>
    <w:rsid w:val="00D3687C"/>
    <w:rsid w:val="00D42B55"/>
    <w:rsid w:val="00D42DB9"/>
    <w:rsid w:val="00D44632"/>
    <w:rsid w:val="00D45F4F"/>
    <w:rsid w:val="00D475BC"/>
    <w:rsid w:val="00D50135"/>
    <w:rsid w:val="00D513B9"/>
    <w:rsid w:val="00D513C9"/>
    <w:rsid w:val="00D60B38"/>
    <w:rsid w:val="00D63480"/>
    <w:rsid w:val="00D650E8"/>
    <w:rsid w:val="00D73789"/>
    <w:rsid w:val="00D806CE"/>
    <w:rsid w:val="00D82304"/>
    <w:rsid w:val="00D828DB"/>
    <w:rsid w:val="00D8623E"/>
    <w:rsid w:val="00D86E88"/>
    <w:rsid w:val="00D92237"/>
    <w:rsid w:val="00D92CCC"/>
    <w:rsid w:val="00D9352B"/>
    <w:rsid w:val="00DA1056"/>
    <w:rsid w:val="00DA18FB"/>
    <w:rsid w:val="00DA2C53"/>
    <w:rsid w:val="00DA34DD"/>
    <w:rsid w:val="00DA3875"/>
    <w:rsid w:val="00DA7F9A"/>
    <w:rsid w:val="00DB561F"/>
    <w:rsid w:val="00DB61ED"/>
    <w:rsid w:val="00DB65D0"/>
    <w:rsid w:val="00DC2BF6"/>
    <w:rsid w:val="00DC6669"/>
    <w:rsid w:val="00DE43E2"/>
    <w:rsid w:val="00DE47A6"/>
    <w:rsid w:val="00DE7F04"/>
    <w:rsid w:val="00DF0253"/>
    <w:rsid w:val="00DF0962"/>
    <w:rsid w:val="00DF478B"/>
    <w:rsid w:val="00DF51FF"/>
    <w:rsid w:val="00E02774"/>
    <w:rsid w:val="00E053C5"/>
    <w:rsid w:val="00E17618"/>
    <w:rsid w:val="00E27E68"/>
    <w:rsid w:val="00E36D64"/>
    <w:rsid w:val="00E42976"/>
    <w:rsid w:val="00E451B0"/>
    <w:rsid w:val="00E456E0"/>
    <w:rsid w:val="00E464B9"/>
    <w:rsid w:val="00E55E30"/>
    <w:rsid w:val="00E562C3"/>
    <w:rsid w:val="00E603D5"/>
    <w:rsid w:val="00E623B1"/>
    <w:rsid w:val="00E65413"/>
    <w:rsid w:val="00E71F7F"/>
    <w:rsid w:val="00E72109"/>
    <w:rsid w:val="00E73F9D"/>
    <w:rsid w:val="00E82520"/>
    <w:rsid w:val="00E837A7"/>
    <w:rsid w:val="00E915EA"/>
    <w:rsid w:val="00E91903"/>
    <w:rsid w:val="00E91DEB"/>
    <w:rsid w:val="00E94FF7"/>
    <w:rsid w:val="00EA2DFD"/>
    <w:rsid w:val="00EA2FB7"/>
    <w:rsid w:val="00EA5CC3"/>
    <w:rsid w:val="00EA7077"/>
    <w:rsid w:val="00EB1982"/>
    <w:rsid w:val="00EB19BA"/>
    <w:rsid w:val="00EB602E"/>
    <w:rsid w:val="00EB6AD6"/>
    <w:rsid w:val="00EB7DAE"/>
    <w:rsid w:val="00EC4232"/>
    <w:rsid w:val="00EC4907"/>
    <w:rsid w:val="00EC5262"/>
    <w:rsid w:val="00EC611C"/>
    <w:rsid w:val="00EC72AD"/>
    <w:rsid w:val="00ED21B1"/>
    <w:rsid w:val="00ED2760"/>
    <w:rsid w:val="00ED383D"/>
    <w:rsid w:val="00ED78AE"/>
    <w:rsid w:val="00EE0F0D"/>
    <w:rsid w:val="00EE1615"/>
    <w:rsid w:val="00EE3462"/>
    <w:rsid w:val="00EF1773"/>
    <w:rsid w:val="00EF17BB"/>
    <w:rsid w:val="00F01364"/>
    <w:rsid w:val="00F04246"/>
    <w:rsid w:val="00F068C9"/>
    <w:rsid w:val="00F06A4B"/>
    <w:rsid w:val="00F145EE"/>
    <w:rsid w:val="00F15190"/>
    <w:rsid w:val="00F15EA4"/>
    <w:rsid w:val="00F162CE"/>
    <w:rsid w:val="00F17B61"/>
    <w:rsid w:val="00F224CF"/>
    <w:rsid w:val="00F25C2A"/>
    <w:rsid w:val="00F360D1"/>
    <w:rsid w:val="00F4112D"/>
    <w:rsid w:val="00F422F9"/>
    <w:rsid w:val="00F42F3D"/>
    <w:rsid w:val="00F43BF0"/>
    <w:rsid w:val="00F47EE4"/>
    <w:rsid w:val="00F51DB4"/>
    <w:rsid w:val="00F53B38"/>
    <w:rsid w:val="00F5485B"/>
    <w:rsid w:val="00F56623"/>
    <w:rsid w:val="00F56E73"/>
    <w:rsid w:val="00F613A2"/>
    <w:rsid w:val="00F67227"/>
    <w:rsid w:val="00F7129E"/>
    <w:rsid w:val="00F7366D"/>
    <w:rsid w:val="00F83A31"/>
    <w:rsid w:val="00F910DE"/>
    <w:rsid w:val="00F951BC"/>
    <w:rsid w:val="00F9639A"/>
    <w:rsid w:val="00FA0917"/>
    <w:rsid w:val="00FA251C"/>
    <w:rsid w:val="00FB1A4C"/>
    <w:rsid w:val="00FB3916"/>
    <w:rsid w:val="00FB5360"/>
    <w:rsid w:val="00FB646D"/>
    <w:rsid w:val="00FC0178"/>
    <w:rsid w:val="00FC2CE2"/>
    <w:rsid w:val="00FC2E0C"/>
    <w:rsid w:val="00FC7286"/>
    <w:rsid w:val="00FD1890"/>
    <w:rsid w:val="00FD41D5"/>
    <w:rsid w:val="00FD7891"/>
    <w:rsid w:val="00FE1432"/>
    <w:rsid w:val="00FE359B"/>
    <w:rsid w:val="00FE39C1"/>
    <w:rsid w:val="00FE3ABC"/>
    <w:rsid w:val="00FE4429"/>
    <w:rsid w:val="00FF11D6"/>
    <w:rsid w:val="00FF3D9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E09816"/>
  <w15:docId w15:val="{A1DB794D-5C80-4C5E-B442-4251ADFD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D76"/>
    <w:pPr>
      <w:spacing w:after="0" w:line="240" w:lineRule="auto"/>
    </w:pPr>
    <w:rPr>
      <w:rFonts w:ascii="Times New Roman" w:eastAsiaTheme="minorEastAsia" w:hAnsi="Times New Roman" w:cs="Times New Roman"/>
      <w:sz w:val="24"/>
      <w:szCs w:val="24"/>
    </w:rPr>
  </w:style>
  <w:style w:type="paragraph" w:styleId="Heading1">
    <w:name w:val="heading 1"/>
    <w:basedOn w:val="Normal"/>
    <w:link w:val="Heading1Char"/>
    <w:uiPriority w:val="9"/>
    <w:qFormat/>
    <w:rsid w:val="00432D76"/>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8DB"/>
    <w:pPr>
      <w:tabs>
        <w:tab w:val="center" w:pos="4153"/>
        <w:tab w:val="right" w:pos="8306"/>
      </w:tabs>
    </w:pPr>
  </w:style>
  <w:style w:type="character" w:customStyle="1" w:styleId="HeaderChar">
    <w:name w:val="Header Char"/>
    <w:basedOn w:val="DefaultParagraphFont"/>
    <w:link w:val="Header"/>
    <w:uiPriority w:val="99"/>
    <w:rsid w:val="00D828DB"/>
  </w:style>
  <w:style w:type="paragraph" w:styleId="Footer">
    <w:name w:val="footer"/>
    <w:basedOn w:val="Normal"/>
    <w:link w:val="FooterChar"/>
    <w:uiPriority w:val="99"/>
    <w:unhideWhenUsed/>
    <w:rsid w:val="00D828DB"/>
    <w:pPr>
      <w:tabs>
        <w:tab w:val="center" w:pos="4153"/>
        <w:tab w:val="right" w:pos="8306"/>
      </w:tabs>
    </w:pPr>
  </w:style>
  <w:style w:type="character" w:customStyle="1" w:styleId="FooterChar">
    <w:name w:val="Footer Char"/>
    <w:basedOn w:val="DefaultParagraphFont"/>
    <w:link w:val="Footer"/>
    <w:uiPriority w:val="99"/>
    <w:rsid w:val="00D828DB"/>
  </w:style>
  <w:style w:type="character" w:customStyle="1" w:styleId="Heading1Char">
    <w:name w:val="Heading 1 Char"/>
    <w:basedOn w:val="DefaultParagraphFont"/>
    <w:link w:val="Heading1"/>
    <w:uiPriority w:val="9"/>
    <w:rsid w:val="00432D76"/>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432D76"/>
    <w:rPr>
      <w:color w:val="0000FF"/>
      <w:u w:val="single"/>
    </w:rPr>
  </w:style>
  <w:style w:type="paragraph" w:styleId="FootnoteText">
    <w:name w:val="footnote text"/>
    <w:basedOn w:val="Normal"/>
    <w:link w:val="FootnoteTextChar"/>
    <w:uiPriority w:val="99"/>
    <w:unhideWhenUsed/>
    <w:rsid w:val="00432D76"/>
  </w:style>
  <w:style w:type="character" w:customStyle="1" w:styleId="FootnoteTextChar">
    <w:name w:val="Footnote Text Char"/>
    <w:basedOn w:val="DefaultParagraphFont"/>
    <w:link w:val="FootnoteText"/>
    <w:uiPriority w:val="99"/>
    <w:rsid w:val="00432D76"/>
    <w:rPr>
      <w:rFonts w:ascii="Times New Roman" w:eastAsiaTheme="minorEastAsia" w:hAnsi="Times New Roman" w:cs="Times New Roman"/>
      <w:sz w:val="24"/>
      <w:szCs w:val="24"/>
    </w:rPr>
  </w:style>
  <w:style w:type="paragraph" w:styleId="Title">
    <w:name w:val="Title"/>
    <w:basedOn w:val="Normal"/>
    <w:link w:val="TitleChar"/>
    <w:uiPriority w:val="10"/>
    <w:qFormat/>
    <w:rsid w:val="00432D76"/>
  </w:style>
  <w:style w:type="character" w:customStyle="1" w:styleId="TitleChar">
    <w:name w:val="Title Char"/>
    <w:basedOn w:val="DefaultParagraphFont"/>
    <w:link w:val="Title"/>
    <w:uiPriority w:val="10"/>
    <w:rsid w:val="00432D76"/>
    <w:rPr>
      <w:rFonts w:ascii="Times New Roman" w:eastAsiaTheme="minorEastAsia" w:hAnsi="Times New Roman" w:cs="Times New Roman"/>
      <w:sz w:val="24"/>
      <w:szCs w:val="24"/>
    </w:rPr>
  </w:style>
  <w:style w:type="character" w:styleId="FootnoteReference">
    <w:name w:val="footnote reference"/>
    <w:basedOn w:val="DefaultParagraphFont"/>
    <w:uiPriority w:val="99"/>
    <w:semiHidden/>
    <w:unhideWhenUsed/>
    <w:rsid w:val="00432D76"/>
    <w:rPr>
      <w:vertAlign w:val="superscript"/>
    </w:rPr>
  </w:style>
  <w:style w:type="character" w:styleId="FollowedHyperlink">
    <w:name w:val="FollowedHyperlink"/>
    <w:basedOn w:val="DefaultParagraphFont"/>
    <w:uiPriority w:val="99"/>
    <w:semiHidden/>
    <w:unhideWhenUsed/>
    <w:rsid w:val="00AC01EE"/>
    <w:rPr>
      <w:color w:val="954F72" w:themeColor="followedHyperlink"/>
      <w:u w:val="single"/>
    </w:rPr>
  </w:style>
  <w:style w:type="character" w:styleId="CommentReference">
    <w:name w:val="annotation reference"/>
    <w:basedOn w:val="DefaultParagraphFont"/>
    <w:uiPriority w:val="99"/>
    <w:semiHidden/>
    <w:unhideWhenUsed/>
    <w:rsid w:val="00B635AF"/>
    <w:rPr>
      <w:sz w:val="16"/>
      <w:szCs w:val="16"/>
    </w:rPr>
  </w:style>
  <w:style w:type="paragraph" w:styleId="CommentText">
    <w:name w:val="annotation text"/>
    <w:basedOn w:val="Normal"/>
    <w:link w:val="CommentTextChar"/>
    <w:uiPriority w:val="99"/>
    <w:unhideWhenUsed/>
    <w:rsid w:val="00B635AF"/>
    <w:rPr>
      <w:sz w:val="20"/>
      <w:szCs w:val="20"/>
    </w:rPr>
  </w:style>
  <w:style w:type="character" w:customStyle="1" w:styleId="CommentTextChar">
    <w:name w:val="Comment Text Char"/>
    <w:basedOn w:val="DefaultParagraphFont"/>
    <w:link w:val="CommentText"/>
    <w:uiPriority w:val="99"/>
    <w:rsid w:val="00B635AF"/>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35AF"/>
    <w:rPr>
      <w:b/>
      <w:bCs/>
    </w:rPr>
  </w:style>
  <w:style w:type="character" w:customStyle="1" w:styleId="CommentSubjectChar">
    <w:name w:val="Comment Subject Char"/>
    <w:basedOn w:val="CommentTextChar"/>
    <w:link w:val="CommentSubject"/>
    <w:uiPriority w:val="99"/>
    <w:semiHidden/>
    <w:rsid w:val="00B635AF"/>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B635AF"/>
    <w:rPr>
      <w:rFonts w:ascii="Tahoma" w:hAnsi="Tahoma" w:cs="Tahoma"/>
      <w:sz w:val="18"/>
      <w:szCs w:val="18"/>
    </w:rPr>
  </w:style>
  <w:style w:type="character" w:customStyle="1" w:styleId="BalloonTextChar">
    <w:name w:val="Balloon Text Char"/>
    <w:basedOn w:val="DefaultParagraphFont"/>
    <w:link w:val="BalloonText"/>
    <w:uiPriority w:val="99"/>
    <w:semiHidden/>
    <w:rsid w:val="00B635AF"/>
    <w:rPr>
      <w:rFonts w:ascii="Tahoma" w:eastAsiaTheme="minorEastAsia" w:hAnsi="Tahoma" w:cs="Tahoma"/>
      <w:sz w:val="18"/>
      <w:szCs w:val="18"/>
    </w:rPr>
  </w:style>
  <w:style w:type="paragraph" w:styleId="ListParagraph">
    <w:name w:val="List Paragraph"/>
    <w:basedOn w:val="Normal"/>
    <w:uiPriority w:val="34"/>
    <w:qFormat/>
    <w:rsid w:val="00BE67C1"/>
    <w:pPr>
      <w:ind w:left="720"/>
      <w:contextualSpacing/>
    </w:pPr>
  </w:style>
  <w:style w:type="paragraph" w:styleId="Revision">
    <w:name w:val="Revision"/>
    <w:hidden/>
    <w:uiPriority w:val="99"/>
    <w:semiHidden/>
    <w:rsid w:val="00805AC1"/>
    <w:pPr>
      <w:spacing w:after="0"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maya.tase.co.il/reports/details/1224643" TargetMode="External"/><Relationship Id="rId3" Type="http://schemas.openxmlformats.org/officeDocument/2006/relationships/hyperlink" Target="https://www.gov.il/he/departments/policies/2017_dec2592" TargetMode="External"/><Relationship Id="rId7" Type="http://schemas.openxmlformats.org/officeDocument/2006/relationships/hyperlink" Target="https://www.gov.il/he/departments/policies/dec4442_2019" TargetMode="External"/><Relationship Id="rId2" Type="http://schemas.openxmlformats.org/officeDocument/2006/relationships/hyperlink" Target="https://www.ratioil.com/he/assets/royee/" TargetMode="External"/><Relationship Id="rId1" Type="http://schemas.openxmlformats.org/officeDocument/2006/relationships/hyperlink" Target="https://maya.tase.co.il/reports/details/1239614" TargetMode="External"/><Relationship Id="rId6" Type="http://schemas.openxmlformats.org/officeDocument/2006/relationships/hyperlink" Target="https://www.gov.il/BlobFolder/reports/periodic_examination/he/ng_dec_18.pdf" TargetMode="External"/><Relationship Id="rId5" Type="http://schemas.openxmlformats.org/officeDocument/2006/relationships/hyperlink" Target="https://www.gov.il/BlobFolder/news/offshore_bid_round_2/he/status_gas_fields.pdf" TargetMode="External"/><Relationship Id="rId4" Type="http://schemas.openxmlformats.org/officeDocument/2006/relationships/hyperlink" Target="https://www.gov.il/he/departments/policies/dec3080_2017" TargetMode="External"/><Relationship Id="rId9" Type="http://schemas.openxmlformats.org/officeDocument/2006/relationships/hyperlink" Target="https://maya.tase.co.il/reports/details/1235664/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75E50-5AC2-4472-844A-FB4717A97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2403</Words>
  <Characters>12015</Characters>
  <Application>Microsoft Office Word</Application>
  <DocSecurity>4</DocSecurity>
  <Lines>100</Lines>
  <Paragraphs>28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2019-07-28T12:49:00Z</cp:lastPrinted>
  <dcterms:created xsi:type="dcterms:W3CDTF">2019-07-29T10:20:00Z</dcterms:created>
  <dcterms:modified xsi:type="dcterms:W3CDTF">2019-07-29T10:20:00Z</dcterms:modified>
</cp:coreProperties>
</file>